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9576"/>
      </w:tblGrid>
      <w:tr w:rsidR="00D26977" w:rsidRPr="00ED5C3C" w14:paraId="6CF97B51" w14:textId="77777777" w:rsidTr="006D4754">
        <w:trPr>
          <w:trHeight w:val="880"/>
        </w:trPr>
        <w:tc>
          <w:tcPr>
            <w:tcW w:w="9576" w:type="dxa"/>
            <w:shd w:val="clear" w:color="auto" w:fill="404040" w:themeFill="text1" w:themeFillTint="BF"/>
          </w:tcPr>
          <w:p w14:paraId="73FB3514" w14:textId="77777777" w:rsidR="00D26977" w:rsidRPr="00ED5C3C" w:rsidRDefault="00D26977" w:rsidP="002F2B2F">
            <w:pPr>
              <w:jc w:val="center"/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</w:pPr>
            <w:r w:rsidRPr="00ED5C3C"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  <w:t xml:space="preserve">Ms. McKnight’s Classroom </w:t>
            </w:r>
            <w:r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  <w:t xml:space="preserve">Video </w:t>
            </w:r>
            <w:r w:rsidRPr="00ED5C3C"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  <w:t>Clip</w:t>
            </w:r>
          </w:p>
          <w:p w14:paraId="682EF853" w14:textId="07304365" w:rsidR="00D26977" w:rsidRPr="00ED5C3C" w:rsidRDefault="00D26977" w:rsidP="002F2B2F">
            <w:pPr>
              <w:jc w:val="center"/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</w:pPr>
            <w:r w:rsidRPr="00ED5C3C">
              <w:rPr>
                <w:rFonts w:ascii="Helvetica Neue Light" w:hAnsi="Helvetica Neue Light"/>
                <w:color w:val="FFFFFF" w:themeColor="background1"/>
                <w:sz w:val="36"/>
                <w:szCs w:val="36"/>
              </w:rPr>
              <w:t>Exploring Classroom Norms</w:t>
            </w:r>
            <w:bookmarkStart w:id="0" w:name="_GoBack"/>
            <w:bookmarkEnd w:id="0"/>
          </w:p>
        </w:tc>
      </w:tr>
    </w:tbl>
    <w:p w14:paraId="05740C1E" w14:textId="77777777" w:rsidR="00DA7018" w:rsidRDefault="00DA7018"/>
    <w:tbl>
      <w:tblPr>
        <w:tblStyle w:val="TableGrid"/>
        <w:tblW w:w="9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350"/>
        <w:gridCol w:w="7650"/>
      </w:tblGrid>
      <w:tr w:rsidR="00DA7018" w14:paraId="488ED94D" w14:textId="77777777" w:rsidTr="009A22A2">
        <w:tc>
          <w:tcPr>
            <w:tcW w:w="565" w:type="dxa"/>
          </w:tcPr>
          <w:p w14:paraId="50017ECA" w14:textId="77777777" w:rsidR="00DA7018" w:rsidRDefault="00DA7018" w:rsidP="00BD272D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1350" w:type="dxa"/>
          </w:tcPr>
          <w:p w14:paraId="6469E572" w14:textId="77777777" w:rsidR="00DA7018" w:rsidRDefault="00DA7018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4D942CFE" w14:textId="77777777" w:rsidR="00DA7018" w:rsidRDefault="00DA7018" w:rsidP="00BD272D">
            <w:pPr>
              <w:spacing w:line="276" w:lineRule="auto"/>
            </w:pPr>
            <w:r w:rsidRPr="00DA7018">
              <w:t xml:space="preserve">So do you want to go first Chamari? </w:t>
            </w:r>
          </w:p>
        </w:tc>
      </w:tr>
      <w:tr w:rsidR="00DA7018" w14:paraId="7843FB46" w14:textId="77777777" w:rsidTr="009A22A2">
        <w:tc>
          <w:tcPr>
            <w:tcW w:w="565" w:type="dxa"/>
          </w:tcPr>
          <w:p w14:paraId="2B332E53" w14:textId="77777777" w:rsidR="00DA7018" w:rsidRDefault="00DA7018" w:rsidP="00BD272D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1350" w:type="dxa"/>
          </w:tcPr>
          <w:p w14:paraId="6584E757" w14:textId="77777777" w:rsidR="00DA7018" w:rsidRDefault="00DA7018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36ABCF7F" w14:textId="4B204DC4" w:rsidR="00DA7018" w:rsidRDefault="00DA7018" w:rsidP="00BD272D">
            <w:pPr>
              <w:spacing w:line="276" w:lineRule="auto"/>
            </w:pPr>
            <w:r>
              <w:t>I can’t draw well.</w:t>
            </w:r>
          </w:p>
        </w:tc>
      </w:tr>
      <w:tr w:rsidR="00DA7018" w14:paraId="71FFA3D1" w14:textId="77777777" w:rsidTr="009A22A2">
        <w:tc>
          <w:tcPr>
            <w:tcW w:w="565" w:type="dxa"/>
          </w:tcPr>
          <w:p w14:paraId="630B98D9" w14:textId="77777777" w:rsidR="00DA7018" w:rsidRDefault="00DA7018" w:rsidP="00BD272D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1350" w:type="dxa"/>
          </w:tcPr>
          <w:p w14:paraId="4EF3B6BD" w14:textId="77777777" w:rsidR="00DA7018" w:rsidRDefault="00DA7018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4D5FDF20" w14:textId="401A2861" w:rsidR="00DA7018" w:rsidRDefault="00DA7018" w:rsidP="00BD272D">
            <w:pPr>
              <w:spacing w:line="276" w:lineRule="auto"/>
            </w:pPr>
            <w:r>
              <w:t xml:space="preserve">You did a great job. </w:t>
            </w:r>
            <w:r w:rsidRPr="00DA7018">
              <w:t>So</w:t>
            </w:r>
            <w:r w:rsidR="005306D9">
              <w:t>,</w:t>
            </w:r>
            <w:r w:rsidRPr="00DA7018">
              <w:t xml:space="preserve"> Marion</w:t>
            </w:r>
            <w:r w:rsidR="005306D9">
              <w:t xml:space="preserve"> and Ari, now it’s time to listen. </w:t>
            </w:r>
            <w:r w:rsidRPr="00DA7018">
              <w:t>You can draw on the board, I’ll give you time to do that before you leave. Ari</w:t>
            </w:r>
            <w:r w:rsidR="005306D9">
              <w:t>?</w:t>
            </w:r>
            <w:r w:rsidRPr="00DA7018">
              <w:t xml:space="preserve"> </w:t>
            </w:r>
          </w:p>
        </w:tc>
      </w:tr>
      <w:tr w:rsidR="005306D9" w14:paraId="6759D889" w14:textId="77777777" w:rsidTr="009A22A2">
        <w:tc>
          <w:tcPr>
            <w:tcW w:w="565" w:type="dxa"/>
          </w:tcPr>
          <w:p w14:paraId="42F78C47" w14:textId="5344B228" w:rsidR="005306D9" w:rsidRDefault="00BD272D" w:rsidP="00BD272D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1350" w:type="dxa"/>
          </w:tcPr>
          <w:p w14:paraId="2DCD55E3" w14:textId="7CD4E19F" w:rsidR="005306D9" w:rsidRDefault="005306D9" w:rsidP="00BD272D">
            <w:pPr>
              <w:spacing w:line="276" w:lineRule="auto"/>
              <w:jc w:val="right"/>
            </w:pPr>
            <w:r>
              <w:t>Ari:</w:t>
            </w:r>
          </w:p>
        </w:tc>
        <w:tc>
          <w:tcPr>
            <w:tcW w:w="7650" w:type="dxa"/>
          </w:tcPr>
          <w:p w14:paraId="3964B3FE" w14:textId="0DE09982" w:rsidR="005306D9" w:rsidRDefault="005306D9" w:rsidP="00BD272D">
            <w:pPr>
              <w:spacing w:line="276" w:lineRule="auto"/>
            </w:pPr>
            <w:r>
              <w:t>Yeah?</w:t>
            </w:r>
          </w:p>
        </w:tc>
      </w:tr>
      <w:tr w:rsidR="005306D9" w14:paraId="6EBF90C8" w14:textId="77777777" w:rsidTr="009A22A2">
        <w:tc>
          <w:tcPr>
            <w:tcW w:w="565" w:type="dxa"/>
          </w:tcPr>
          <w:p w14:paraId="264E7250" w14:textId="0D73981A" w:rsidR="005306D9" w:rsidRDefault="00BD272D" w:rsidP="00BD272D">
            <w:pPr>
              <w:spacing w:line="276" w:lineRule="auto"/>
              <w:jc w:val="right"/>
            </w:pPr>
            <w:r>
              <w:t>5</w:t>
            </w:r>
          </w:p>
        </w:tc>
        <w:tc>
          <w:tcPr>
            <w:tcW w:w="1350" w:type="dxa"/>
          </w:tcPr>
          <w:p w14:paraId="2A843224" w14:textId="4622402B" w:rsidR="005306D9" w:rsidRDefault="005306D9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2C846912" w14:textId="38F276C6" w:rsidR="005306D9" w:rsidRDefault="005306D9" w:rsidP="00BD272D">
            <w:pPr>
              <w:spacing w:line="276" w:lineRule="auto"/>
            </w:pPr>
            <w:r>
              <w:t>B</w:t>
            </w:r>
            <w:r w:rsidRPr="00DA7018">
              <w:t>e respectful</w:t>
            </w:r>
            <w:r>
              <w:t>,</w:t>
            </w:r>
            <w:r w:rsidRPr="00DA7018">
              <w:t xml:space="preserve"> please. </w:t>
            </w:r>
            <w:r>
              <w:t>I said I’ll give you time. So, c</w:t>
            </w:r>
            <w:r w:rsidRPr="00DA7018">
              <w:t>an you guys</w:t>
            </w:r>
            <w:r>
              <w:t xml:space="preserve"> find a place to sit? A</w:t>
            </w:r>
            <w:r w:rsidRPr="00DA7018">
              <w:t xml:space="preserve">nd Chamari </w:t>
            </w:r>
            <w:r>
              <w:t>is gonna</w:t>
            </w:r>
            <w:r w:rsidRPr="00DA7018">
              <w:t xml:space="preserve"> talk about his idea. </w:t>
            </w:r>
            <w:r w:rsidR="002D1B3B">
              <w:t xml:space="preserve">Okay. </w:t>
            </w:r>
            <w:r w:rsidRPr="00DA7018">
              <w:t>So</w:t>
            </w:r>
            <w:r w:rsidR="002D1B3B">
              <w:t>,</w:t>
            </w:r>
            <w:r w:rsidRPr="00DA7018">
              <w:t xml:space="preserve"> Chamari can you make sure </w:t>
            </w:r>
            <w:r w:rsidR="002D1B3B">
              <w:t>all of us can hear. S</w:t>
            </w:r>
            <w:r w:rsidRPr="00DA7018">
              <w:t>o</w:t>
            </w:r>
            <w:r w:rsidR="002D1B3B">
              <w:t>, just tweak</w:t>
            </w:r>
            <w:r w:rsidRPr="00DA7018">
              <w:t xml:space="preserve"> </w:t>
            </w:r>
            <w:r w:rsidR="002D1B3B">
              <w:t>your body a little, and look at us.</w:t>
            </w:r>
          </w:p>
        </w:tc>
      </w:tr>
      <w:tr w:rsidR="00DA7018" w14:paraId="66436FD7" w14:textId="77777777" w:rsidTr="009A22A2">
        <w:tc>
          <w:tcPr>
            <w:tcW w:w="565" w:type="dxa"/>
          </w:tcPr>
          <w:p w14:paraId="773C76EB" w14:textId="386B00C2" w:rsidR="00DA7018" w:rsidRDefault="00BD272D" w:rsidP="00BD272D">
            <w:pPr>
              <w:spacing w:line="276" w:lineRule="auto"/>
              <w:jc w:val="right"/>
            </w:pPr>
            <w:r>
              <w:t>6</w:t>
            </w:r>
          </w:p>
        </w:tc>
        <w:tc>
          <w:tcPr>
            <w:tcW w:w="1350" w:type="dxa"/>
          </w:tcPr>
          <w:p w14:paraId="65AB0816" w14:textId="77777777" w:rsidR="00DA7018" w:rsidRDefault="00DA7018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6D62116D" w14:textId="77777777" w:rsidR="00DA7018" w:rsidRDefault="00DA7018" w:rsidP="00BD272D">
            <w:pPr>
              <w:spacing w:line="276" w:lineRule="auto"/>
            </w:pPr>
            <w:r>
              <w:t xml:space="preserve">[turns to face whiteboard] </w:t>
            </w:r>
          </w:p>
        </w:tc>
      </w:tr>
      <w:tr w:rsidR="00DA7018" w14:paraId="38D65B1D" w14:textId="77777777" w:rsidTr="009A22A2">
        <w:tc>
          <w:tcPr>
            <w:tcW w:w="565" w:type="dxa"/>
          </w:tcPr>
          <w:p w14:paraId="44268504" w14:textId="7AA9F043" w:rsidR="00DA7018" w:rsidRDefault="00BD272D" w:rsidP="00BD272D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1350" w:type="dxa"/>
          </w:tcPr>
          <w:p w14:paraId="14C9B23D" w14:textId="77777777" w:rsidR="00DA7018" w:rsidRDefault="00DA7018" w:rsidP="00BD272D">
            <w:pPr>
              <w:spacing w:line="276" w:lineRule="auto"/>
              <w:jc w:val="right"/>
            </w:pPr>
            <w:r>
              <w:t xml:space="preserve">Ms. M: </w:t>
            </w:r>
          </w:p>
        </w:tc>
        <w:tc>
          <w:tcPr>
            <w:tcW w:w="7650" w:type="dxa"/>
          </w:tcPr>
          <w:p w14:paraId="18C78217" w14:textId="2D1B9B8F" w:rsidR="00DA7018" w:rsidRDefault="00A8589E" w:rsidP="00BD272D">
            <w:pPr>
              <w:spacing w:line="276" w:lineRule="auto"/>
            </w:pPr>
            <w:r>
              <w:t>Look at</w:t>
            </w:r>
            <w:r w:rsidR="00DA7018">
              <w:t xml:space="preserve"> </w:t>
            </w:r>
            <w:r>
              <w:rPr>
                <w:i/>
              </w:rPr>
              <w:t>us</w:t>
            </w:r>
            <w:r w:rsidR="00DA7018">
              <w:t>.</w:t>
            </w:r>
          </w:p>
        </w:tc>
      </w:tr>
      <w:tr w:rsidR="00DA7018" w14:paraId="50CEA217" w14:textId="77777777" w:rsidTr="009A22A2">
        <w:tc>
          <w:tcPr>
            <w:tcW w:w="565" w:type="dxa"/>
          </w:tcPr>
          <w:p w14:paraId="12722834" w14:textId="32E78043" w:rsidR="00DA7018" w:rsidRDefault="00BD272D" w:rsidP="00BD272D">
            <w:pPr>
              <w:spacing w:line="276" w:lineRule="auto"/>
              <w:jc w:val="right"/>
            </w:pPr>
            <w:r>
              <w:t>8</w:t>
            </w:r>
          </w:p>
        </w:tc>
        <w:tc>
          <w:tcPr>
            <w:tcW w:w="1350" w:type="dxa"/>
          </w:tcPr>
          <w:p w14:paraId="407CFD00" w14:textId="77777777" w:rsidR="00DA7018" w:rsidRDefault="00DA7018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1602C5FD" w14:textId="77777777" w:rsidR="00DA7018" w:rsidRDefault="00DA7018" w:rsidP="00BD272D">
            <w:pPr>
              <w:spacing w:line="276" w:lineRule="auto"/>
            </w:pPr>
            <w:r>
              <w:t>[Turns around to the other side and looks out towards the class]</w:t>
            </w:r>
          </w:p>
          <w:p w14:paraId="03723E5A" w14:textId="28719DA6" w:rsidR="00DA7018" w:rsidRDefault="00DA7018" w:rsidP="00BD272D">
            <w:pPr>
              <w:spacing w:line="276" w:lineRule="auto"/>
            </w:pPr>
            <w:r>
              <w:t>Okay.</w:t>
            </w:r>
            <w:r w:rsidR="00A8589E">
              <w:t xml:space="preserve"> F</w:t>
            </w:r>
            <w:r>
              <w:t>irst</w:t>
            </w:r>
            <w:r w:rsidR="00A8589E">
              <w:t>, I drew the rect– I drew the boxes. T</w:t>
            </w:r>
            <w:r>
              <w:t>hen</w:t>
            </w:r>
            <w:r w:rsidR="00A8589E">
              <w:t>,</w:t>
            </w:r>
            <w:r>
              <w:t xml:space="preserve"> I</w:t>
            </w:r>
            <w:r w:rsidR="00A8589E">
              <w:t>…</w:t>
            </w:r>
          </w:p>
        </w:tc>
      </w:tr>
      <w:tr w:rsidR="00DA7018" w14:paraId="4F8145BA" w14:textId="77777777" w:rsidTr="009A22A2">
        <w:tc>
          <w:tcPr>
            <w:tcW w:w="565" w:type="dxa"/>
          </w:tcPr>
          <w:p w14:paraId="222D2A51" w14:textId="3885F5A3" w:rsidR="00DA7018" w:rsidRDefault="00BD272D" w:rsidP="00BD272D">
            <w:pPr>
              <w:spacing w:line="276" w:lineRule="auto"/>
              <w:jc w:val="right"/>
            </w:pPr>
            <w:r>
              <w:t>9</w:t>
            </w:r>
          </w:p>
        </w:tc>
        <w:tc>
          <w:tcPr>
            <w:tcW w:w="1350" w:type="dxa"/>
          </w:tcPr>
          <w:p w14:paraId="39BD36B9" w14:textId="77777777" w:rsidR="00DA7018" w:rsidRDefault="00DA7018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2AE9341F" w14:textId="02C33BED" w:rsidR="00DA7018" w:rsidRDefault="00DA7018" w:rsidP="00BD272D">
            <w:pPr>
              <w:spacing w:line="276" w:lineRule="auto"/>
            </w:pPr>
            <w:r w:rsidRPr="00DA7018">
              <w:t xml:space="preserve">So </w:t>
            </w:r>
            <w:r w:rsidR="00A8589E">
              <w:t>– I’m gonna – I’m only stopping you… And this is why I’m stopping him,</w:t>
            </w:r>
            <w:r w:rsidRPr="00DA7018">
              <w:t xml:space="preserve"> because remember, we’re going to try to stay away from telling step-by-step what we did. We want to talk about </w:t>
            </w:r>
            <w:r w:rsidRPr="00A8589E">
              <w:rPr>
                <w:i/>
              </w:rPr>
              <w:t>why</w:t>
            </w:r>
            <w:r w:rsidRPr="00DA7018">
              <w:t xml:space="preserve"> we did that</w:t>
            </w:r>
            <w:r w:rsidR="00A8589E">
              <w:t>. S</w:t>
            </w:r>
            <w:r w:rsidRPr="00DA7018">
              <w:t>o</w:t>
            </w:r>
            <w:r w:rsidR="00A8589E">
              <w:t>,</w:t>
            </w:r>
            <w:r w:rsidRPr="00DA7018">
              <w:t xml:space="preserve"> why did</w:t>
            </w:r>
            <w:r w:rsidR="00A8589E">
              <w:t xml:space="preserve"> you decided to do what you did?</w:t>
            </w:r>
            <w:r w:rsidRPr="00DA7018">
              <w:t xml:space="preserve"> </w:t>
            </w:r>
            <w:r w:rsidR="00A8589E">
              <w:t>Instead of telling us step-by-</w:t>
            </w:r>
            <w:r w:rsidRPr="00DA7018">
              <w:t>step, because we didn’t see what you did.</w:t>
            </w:r>
            <w:r>
              <w:t xml:space="preserve"> How does it compare six-tenths</w:t>
            </w:r>
            <w:r w:rsidR="00A8589E">
              <w:t xml:space="preserve"> – what you did – compare six-tenths</w:t>
            </w:r>
            <w:r>
              <w:t xml:space="preserve"> </w:t>
            </w:r>
            <w:r w:rsidRPr="00DA7018">
              <w:t xml:space="preserve">and </w:t>
            </w:r>
            <w:r>
              <w:t>four-</w:t>
            </w:r>
            <w:r w:rsidR="002B1389">
              <w:t>sixths?</w:t>
            </w:r>
          </w:p>
        </w:tc>
      </w:tr>
      <w:tr w:rsidR="00DA7018" w14:paraId="51CBE447" w14:textId="77777777" w:rsidTr="009A22A2">
        <w:tc>
          <w:tcPr>
            <w:tcW w:w="565" w:type="dxa"/>
          </w:tcPr>
          <w:p w14:paraId="2D5CE0D0" w14:textId="0E60BEBB" w:rsidR="00DA7018" w:rsidRDefault="00BD272D" w:rsidP="00BD272D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1350" w:type="dxa"/>
          </w:tcPr>
          <w:p w14:paraId="5F296925" w14:textId="77777777" w:rsidR="00DA7018" w:rsidRDefault="00DA7018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52B3AB9F" w14:textId="273E37D3" w:rsidR="00DA7018" w:rsidRDefault="00A8589E" w:rsidP="00BD272D">
            <w:pPr>
              <w:spacing w:line="276" w:lineRule="auto"/>
            </w:pPr>
            <w:r>
              <w:t>I chose</w:t>
            </w:r>
            <w:r w:rsidR="00DA7018">
              <w:t xml:space="preserve"> this way because I thought it was easier. Because if I use the one bar then it would be easier to draw the denominators.</w:t>
            </w:r>
          </w:p>
        </w:tc>
      </w:tr>
      <w:tr w:rsidR="00A8589E" w14:paraId="735866A5" w14:textId="77777777" w:rsidTr="009A22A2">
        <w:tc>
          <w:tcPr>
            <w:tcW w:w="565" w:type="dxa"/>
          </w:tcPr>
          <w:p w14:paraId="31400D5B" w14:textId="3081D30B" w:rsidR="00A8589E" w:rsidRDefault="00BD272D" w:rsidP="00BD272D">
            <w:pPr>
              <w:spacing w:line="276" w:lineRule="auto"/>
              <w:jc w:val="right"/>
            </w:pPr>
            <w:r>
              <w:t>11</w:t>
            </w:r>
          </w:p>
        </w:tc>
        <w:tc>
          <w:tcPr>
            <w:tcW w:w="1350" w:type="dxa"/>
          </w:tcPr>
          <w:p w14:paraId="014D3467" w14:textId="2166C08A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09E00CD1" w14:textId="223CDD63" w:rsidR="00A8589E" w:rsidRDefault="00A8589E" w:rsidP="00BD272D">
            <w:pPr>
              <w:spacing w:line="276" w:lineRule="auto"/>
            </w:pPr>
            <w:r>
              <w:t xml:space="preserve">Okay. Can you hear him? Please stop drawing. Go ahead. </w:t>
            </w:r>
          </w:p>
        </w:tc>
      </w:tr>
      <w:tr w:rsidR="00A8589E" w14:paraId="74308560" w14:textId="77777777" w:rsidTr="009A22A2">
        <w:tc>
          <w:tcPr>
            <w:tcW w:w="565" w:type="dxa"/>
          </w:tcPr>
          <w:p w14:paraId="5DF623B8" w14:textId="7F8A0EEE" w:rsidR="00A8589E" w:rsidRDefault="00BD272D" w:rsidP="00BD272D">
            <w:pPr>
              <w:spacing w:line="276" w:lineRule="auto"/>
              <w:jc w:val="right"/>
            </w:pPr>
            <w:r>
              <w:t>12</w:t>
            </w:r>
          </w:p>
        </w:tc>
        <w:tc>
          <w:tcPr>
            <w:tcW w:w="1350" w:type="dxa"/>
          </w:tcPr>
          <w:p w14:paraId="46C5361D" w14:textId="627A2E1D" w:rsidR="00A8589E" w:rsidRDefault="00A8589E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16B9E26F" w14:textId="157EE280" w:rsidR="00A8589E" w:rsidRDefault="00A8589E" w:rsidP="00BD272D">
            <w:pPr>
              <w:spacing w:line="276" w:lineRule="auto"/>
            </w:pPr>
            <w:r>
              <w:t>Because… Like, if I drew – if I drew – use the one bar, then it would b easier to um… draw the denominators.</w:t>
            </w:r>
          </w:p>
        </w:tc>
      </w:tr>
      <w:tr w:rsidR="00A8589E" w14:paraId="65D22706" w14:textId="77777777" w:rsidTr="009A22A2">
        <w:tc>
          <w:tcPr>
            <w:tcW w:w="565" w:type="dxa"/>
          </w:tcPr>
          <w:p w14:paraId="160158C1" w14:textId="35E515DA" w:rsidR="00A8589E" w:rsidRDefault="00BD272D" w:rsidP="00BD272D">
            <w:pPr>
              <w:spacing w:line="276" w:lineRule="auto"/>
              <w:jc w:val="right"/>
            </w:pPr>
            <w:r>
              <w:t>13</w:t>
            </w:r>
          </w:p>
        </w:tc>
        <w:tc>
          <w:tcPr>
            <w:tcW w:w="1350" w:type="dxa"/>
          </w:tcPr>
          <w:p w14:paraId="4CB6993D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14218AAF" w14:textId="34623042" w:rsidR="00A8589E" w:rsidRDefault="00A8589E" w:rsidP="00BD272D">
            <w:pPr>
              <w:spacing w:line="276" w:lineRule="auto"/>
            </w:pPr>
            <w:r>
              <w:t>What about those denominators?</w:t>
            </w:r>
            <w:r w:rsidRPr="00DA7018">
              <w:t xml:space="preserve"> What can you </w:t>
            </w:r>
            <w:r>
              <w:t>tell me</w:t>
            </w:r>
            <w:r w:rsidRPr="00DA7018">
              <w:t xml:space="preserve"> about those denominators?</w:t>
            </w:r>
          </w:p>
        </w:tc>
      </w:tr>
      <w:tr w:rsidR="00A8589E" w14:paraId="2E0E0964" w14:textId="77777777" w:rsidTr="009A22A2">
        <w:tc>
          <w:tcPr>
            <w:tcW w:w="565" w:type="dxa"/>
          </w:tcPr>
          <w:p w14:paraId="4A300E03" w14:textId="401E6972" w:rsidR="00A8589E" w:rsidRDefault="00A8589E" w:rsidP="00BD272D">
            <w:pPr>
              <w:spacing w:line="276" w:lineRule="auto"/>
              <w:jc w:val="right"/>
            </w:pPr>
            <w:r>
              <w:t>1</w:t>
            </w:r>
            <w:r w:rsidR="00BD272D">
              <w:t>4</w:t>
            </w:r>
          </w:p>
        </w:tc>
        <w:tc>
          <w:tcPr>
            <w:tcW w:w="1350" w:type="dxa"/>
          </w:tcPr>
          <w:p w14:paraId="30965418" w14:textId="77777777" w:rsidR="00A8589E" w:rsidRDefault="00A8589E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1224EFBE" w14:textId="47B257BA" w:rsidR="00A8589E" w:rsidRDefault="00E1409C" w:rsidP="00BD272D">
            <w:pPr>
              <w:spacing w:line="276" w:lineRule="auto"/>
            </w:pPr>
            <w:r>
              <w:t xml:space="preserve">Ah… </w:t>
            </w:r>
            <w:r w:rsidR="00A8589E">
              <w:t>They’re both different,</w:t>
            </w:r>
            <w:r>
              <w:t xml:space="preserve"> but they’re both the same um… size.</w:t>
            </w:r>
          </w:p>
        </w:tc>
      </w:tr>
      <w:tr w:rsidR="00A8589E" w14:paraId="768052C6" w14:textId="77777777" w:rsidTr="009A22A2">
        <w:tc>
          <w:tcPr>
            <w:tcW w:w="565" w:type="dxa"/>
          </w:tcPr>
          <w:p w14:paraId="6B8B1219" w14:textId="06D06A91" w:rsidR="00A8589E" w:rsidRDefault="00A8589E" w:rsidP="00BD272D">
            <w:pPr>
              <w:spacing w:line="276" w:lineRule="auto"/>
              <w:jc w:val="right"/>
            </w:pPr>
            <w:r>
              <w:t>1</w:t>
            </w:r>
            <w:r w:rsidR="00BD272D">
              <w:t>5</w:t>
            </w:r>
          </w:p>
        </w:tc>
        <w:tc>
          <w:tcPr>
            <w:tcW w:w="1350" w:type="dxa"/>
          </w:tcPr>
          <w:p w14:paraId="514241F1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75E893F0" w14:textId="204FCFE0" w:rsidR="00A8589E" w:rsidRDefault="00A8589E" w:rsidP="00BD272D">
            <w:pPr>
              <w:spacing w:line="276" w:lineRule="auto"/>
            </w:pPr>
            <w:r w:rsidRPr="00DA7018">
              <w:t xml:space="preserve">So they’re both different. </w:t>
            </w:r>
            <w:r w:rsidR="00BE1074">
              <w:t>Everyone agree with</w:t>
            </w:r>
            <w:r w:rsidRPr="00DA7018">
              <w:t xml:space="preserve"> the denominators are different?</w:t>
            </w:r>
          </w:p>
        </w:tc>
      </w:tr>
      <w:tr w:rsidR="00A8589E" w14:paraId="4E7F9E09" w14:textId="77777777" w:rsidTr="009A22A2">
        <w:tc>
          <w:tcPr>
            <w:tcW w:w="565" w:type="dxa"/>
          </w:tcPr>
          <w:p w14:paraId="33F4680C" w14:textId="55D39058" w:rsidR="00A8589E" w:rsidRDefault="00BD272D" w:rsidP="00BD272D">
            <w:pPr>
              <w:spacing w:line="276" w:lineRule="auto"/>
              <w:jc w:val="right"/>
            </w:pPr>
            <w:r>
              <w:t>16</w:t>
            </w:r>
          </w:p>
        </w:tc>
        <w:tc>
          <w:tcPr>
            <w:tcW w:w="1350" w:type="dxa"/>
          </w:tcPr>
          <w:p w14:paraId="42486069" w14:textId="77777777" w:rsidR="00A8589E" w:rsidRDefault="00A8589E" w:rsidP="00BD272D">
            <w:pPr>
              <w:spacing w:line="276" w:lineRule="auto"/>
              <w:jc w:val="right"/>
            </w:pPr>
            <w:r>
              <w:t>Student 1:</w:t>
            </w:r>
          </w:p>
        </w:tc>
        <w:tc>
          <w:tcPr>
            <w:tcW w:w="7650" w:type="dxa"/>
          </w:tcPr>
          <w:p w14:paraId="6DA783FE" w14:textId="5E8BB04B" w:rsidR="00A8589E" w:rsidRPr="00DA7018" w:rsidRDefault="00015D5E" w:rsidP="00BD272D">
            <w:pPr>
              <w:spacing w:line="276" w:lineRule="auto"/>
            </w:pPr>
            <w:r>
              <w:t>I can’t see.</w:t>
            </w:r>
          </w:p>
        </w:tc>
      </w:tr>
      <w:tr w:rsidR="00A8589E" w14:paraId="6F506F02" w14:textId="77777777" w:rsidTr="009A22A2">
        <w:tc>
          <w:tcPr>
            <w:tcW w:w="565" w:type="dxa"/>
          </w:tcPr>
          <w:p w14:paraId="10DE955E" w14:textId="5737B6CA" w:rsidR="00A8589E" w:rsidRDefault="00A8589E" w:rsidP="00BD272D">
            <w:pPr>
              <w:spacing w:line="276" w:lineRule="auto"/>
              <w:jc w:val="right"/>
            </w:pPr>
            <w:r>
              <w:t>1</w:t>
            </w:r>
            <w:r w:rsidR="00BD272D">
              <w:t>7</w:t>
            </w:r>
          </w:p>
        </w:tc>
        <w:tc>
          <w:tcPr>
            <w:tcW w:w="1350" w:type="dxa"/>
          </w:tcPr>
          <w:p w14:paraId="4614DF4F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29C7C154" w14:textId="21570EFA" w:rsidR="00A8589E" w:rsidRPr="00DA7018" w:rsidRDefault="00015D5E" w:rsidP="00BD272D">
            <w:pPr>
              <w:spacing w:line="276" w:lineRule="auto"/>
            </w:pPr>
            <w:r>
              <w:t xml:space="preserve">Well, the denominators are the same as what you have. Six-tenths and four-sixths. Ten and six. Right? </w:t>
            </w:r>
          </w:p>
        </w:tc>
      </w:tr>
      <w:tr w:rsidR="00A8589E" w14:paraId="3CABE462" w14:textId="77777777" w:rsidTr="009A22A2">
        <w:tc>
          <w:tcPr>
            <w:tcW w:w="565" w:type="dxa"/>
          </w:tcPr>
          <w:p w14:paraId="7BBF821B" w14:textId="4935C5B2" w:rsidR="00A8589E" w:rsidRDefault="0021626A" w:rsidP="00BD272D">
            <w:pPr>
              <w:spacing w:line="276" w:lineRule="auto"/>
              <w:jc w:val="right"/>
            </w:pPr>
            <w:r>
              <w:t>1</w:t>
            </w:r>
            <w:r w:rsidR="00BD272D">
              <w:t>8</w:t>
            </w:r>
          </w:p>
        </w:tc>
        <w:tc>
          <w:tcPr>
            <w:tcW w:w="1350" w:type="dxa"/>
          </w:tcPr>
          <w:p w14:paraId="7CEF32AD" w14:textId="271E6F3E" w:rsidR="00A8589E" w:rsidRDefault="00015D5E" w:rsidP="00BD272D">
            <w:pPr>
              <w:spacing w:line="276" w:lineRule="auto"/>
              <w:jc w:val="right"/>
            </w:pPr>
            <w:r>
              <w:t>Student 1</w:t>
            </w:r>
            <w:r w:rsidR="00A8589E">
              <w:t>:</w:t>
            </w:r>
          </w:p>
        </w:tc>
        <w:tc>
          <w:tcPr>
            <w:tcW w:w="7650" w:type="dxa"/>
          </w:tcPr>
          <w:p w14:paraId="7F781433" w14:textId="559E6049" w:rsidR="00A8589E" w:rsidRPr="00DA7018" w:rsidRDefault="00015D5E" w:rsidP="00BD272D">
            <w:pPr>
              <w:spacing w:line="276" w:lineRule="auto"/>
            </w:pPr>
            <w:r>
              <w:t xml:space="preserve">I said, but yeah. </w:t>
            </w:r>
          </w:p>
        </w:tc>
      </w:tr>
      <w:tr w:rsidR="00A8589E" w14:paraId="530C112A" w14:textId="77777777" w:rsidTr="009A22A2">
        <w:tc>
          <w:tcPr>
            <w:tcW w:w="565" w:type="dxa"/>
          </w:tcPr>
          <w:p w14:paraId="2965672F" w14:textId="7D22B763" w:rsidR="00A8589E" w:rsidRDefault="0021626A" w:rsidP="00BD272D">
            <w:pPr>
              <w:spacing w:line="276" w:lineRule="auto"/>
              <w:jc w:val="right"/>
            </w:pPr>
            <w:r>
              <w:t>1</w:t>
            </w:r>
            <w:r w:rsidR="00BD272D">
              <w:t>9</w:t>
            </w:r>
          </w:p>
        </w:tc>
        <w:tc>
          <w:tcPr>
            <w:tcW w:w="1350" w:type="dxa"/>
          </w:tcPr>
          <w:p w14:paraId="323438E9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18781D63" w14:textId="0AF655F6" w:rsidR="00A8589E" w:rsidRPr="00DA7018" w:rsidRDefault="00015D5E" w:rsidP="00BD272D">
            <w:pPr>
              <w:spacing w:line="276" w:lineRule="auto"/>
            </w:pPr>
            <w:r>
              <w:t xml:space="preserve">Okay. Are they the same </w:t>
            </w:r>
            <w:r w:rsidRPr="00DA7018">
              <w:t xml:space="preserve">size? </w:t>
            </w:r>
            <w:r>
              <w:t>The denominator tenths and the denominator sixths? Are those the same size?</w:t>
            </w:r>
          </w:p>
        </w:tc>
      </w:tr>
      <w:tr w:rsidR="00A8589E" w14:paraId="768C86AD" w14:textId="77777777" w:rsidTr="009A22A2">
        <w:tc>
          <w:tcPr>
            <w:tcW w:w="565" w:type="dxa"/>
          </w:tcPr>
          <w:p w14:paraId="10FB6CED" w14:textId="249C38A8" w:rsidR="00A8589E" w:rsidRDefault="00BD272D" w:rsidP="00BD272D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1350" w:type="dxa"/>
          </w:tcPr>
          <w:p w14:paraId="188E6C75" w14:textId="77777777" w:rsidR="00A8589E" w:rsidRDefault="00A8589E" w:rsidP="00BD272D">
            <w:pPr>
              <w:spacing w:line="276" w:lineRule="auto"/>
              <w:jc w:val="right"/>
            </w:pPr>
            <w:r>
              <w:t>Students:</w:t>
            </w:r>
          </w:p>
        </w:tc>
        <w:tc>
          <w:tcPr>
            <w:tcW w:w="7650" w:type="dxa"/>
          </w:tcPr>
          <w:p w14:paraId="2AE38C5D" w14:textId="77777777" w:rsidR="00A8589E" w:rsidRDefault="00A8589E" w:rsidP="00BD272D">
            <w:pPr>
              <w:spacing w:line="276" w:lineRule="auto"/>
            </w:pPr>
            <w:r>
              <w:t>No</w:t>
            </w:r>
          </w:p>
        </w:tc>
      </w:tr>
      <w:tr w:rsidR="00015D5E" w14:paraId="0B4C17A7" w14:textId="77777777" w:rsidTr="009A22A2">
        <w:tc>
          <w:tcPr>
            <w:tcW w:w="565" w:type="dxa"/>
          </w:tcPr>
          <w:p w14:paraId="77C4CE2C" w14:textId="0A98FE23" w:rsidR="00015D5E" w:rsidRDefault="00BD272D" w:rsidP="00BD272D">
            <w:pPr>
              <w:spacing w:line="276" w:lineRule="auto"/>
              <w:jc w:val="right"/>
            </w:pPr>
            <w:r>
              <w:lastRenderedPageBreak/>
              <w:t>21</w:t>
            </w:r>
          </w:p>
        </w:tc>
        <w:tc>
          <w:tcPr>
            <w:tcW w:w="1350" w:type="dxa"/>
          </w:tcPr>
          <w:p w14:paraId="54265755" w14:textId="49019CBF" w:rsidR="00015D5E" w:rsidRDefault="00015D5E" w:rsidP="00BD272D">
            <w:pPr>
              <w:spacing w:line="276" w:lineRule="auto"/>
              <w:jc w:val="right"/>
            </w:pPr>
            <w:r>
              <w:t xml:space="preserve">Ms. M: </w:t>
            </w:r>
          </w:p>
        </w:tc>
        <w:tc>
          <w:tcPr>
            <w:tcW w:w="7650" w:type="dxa"/>
          </w:tcPr>
          <w:p w14:paraId="5DF140B4" w14:textId="0134287B" w:rsidR="00015D5E" w:rsidRDefault="00015D5E" w:rsidP="00BD272D">
            <w:pPr>
              <w:spacing w:line="276" w:lineRule="auto"/>
            </w:pPr>
            <w:r>
              <w:t>[Walks over to pick up fraction bar manipulatives]  So if I look at some fraction bars – a sixth and a tenth – are those the same size?</w:t>
            </w:r>
          </w:p>
        </w:tc>
      </w:tr>
      <w:tr w:rsidR="00015D5E" w14:paraId="3784471C" w14:textId="77777777" w:rsidTr="009A22A2">
        <w:tc>
          <w:tcPr>
            <w:tcW w:w="565" w:type="dxa"/>
          </w:tcPr>
          <w:p w14:paraId="5D656B64" w14:textId="062761B0" w:rsidR="00015D5E" w:rsidRDefault="00BD272D" w:rsidP="00BD272D">
            <w:pPr>
              <w:spacing w:line="276" w:lineRule="auto"/>
              <w:jc w:val="right"/>
            </w:pPr>
            <w:r>
              <w:t>22</w:t>
            </w:r>
          </w:p>
        </w:tc>
        <w:tc>
          <w:tcPr>
            <w:tcW w:w="1350" w:type="dxa"/>
          </w:tcPr>
          <w:p w14:paraId="16D5BFCF" w14:textId="68A8DA3B" w:rsidR="00015D5E" w:rsidRDefault="00015D5E" w:rsidP="00BD272D">
            <w:pPr>
              <w:spacing w:line="276" w:lineRule="auto"/>
              <w:jc w:val="right"/>
            </w:pPr>
            <w:r>
              <w:t>Students:</w:t>
            </w:r>
          </w:p>
        </w:tc>
        <w:tc>
          <w:tcPr>
            <w:tcW w:w="7650" w:type="dxa"/>
          </w:tcPr>
          <w:p w14:paraId="212C31EE" w14:textId="30C8FA34" w:rsidR="00015D5E" w:rsidRDefault="00015D5E" w:rsidP="00BD272D">
            <w:pPr>
              <w:spacing w:line="276" w:lineRule="auto"/>
            </w:pPr>
            <w:r>
              <w:t>No.</w:t>
            </w:r>
          </w:p>
        </w:tc>
      </w:tr>
      <w:tr w:rsidR="00A8589E" w14:paraId="4095DCD2" w14:textId="77777777" w:rsidTr="009A22A2">
        <w:tc>
          <w:tcPr>
            <w:tcW w:w="565" w:type="dxa"/>
          </w:tcPr>
          <w:p w14:paraId="08179236" w14:textId="75B813C7" w:rsidR="00A8589E" w:rsidRDefault="00BD272D" w:rsidP="00BD272D">
            <w:pPr>
              <w:spacing w:line="276" w:lineRule="auto"/>
              <w:jc w:val="right"/>
            </w:pPr>
            <w:r>
              <w:t>23</w:t>
            </w:r>
          </w:p>
        </w:tc>
        <w:tc>
          <w:tcPr>
            <w:tcW w:w="1350" w:type="dxa"/>
          </w:tcPr>
          <w:p w14:paraId="0B50E2BC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3916F3DB" w14:textId="270DACDC" w:rsidR="00A8589E" w:rsidRDefault="00A8589E" w:rsidP="00BD272D">
            <w:pPr>
              <w:spacing w:line="276" w:lineRule="auto"/>
            </w:pPr>
            <w:r w:rsidRPr="00DA7018">
              <w:t>They’re not. So would y</w:t>
            </w:r>
            <w:r w:rsidR="003332BD">
              <w:t>ou still stick with</w:t>
            </w:r>
            <w:r>
              <w:t xml:space="preserve"> that</w:t>
            </w:r>
            <w:r w:rsidR="003332BD">
              <w:t>,</w:t>
            </w:r>
            <w:r>
              <w:t xml:space="preserve"> Chamari? </w:t>
            </w:r>
            <w:r w:rsidR="003332BD">
              <w:t>That they’re</w:t>
            </w:r>
            <w:r>
              <w:t xml:space="preserve"> same size? S</w:t>
            </w:r>
            <w:r w:rsidRPr="00DA7018">
              <w:t>o</w:t>
            </w:r>
            <w:r w:rsidR="003332BD">
              <w:t>,</w:t>
            </w:r>
            <w:r w:rsidRPr="00DA7018">
              <w:t xml:space="preserve"> they’re different</w:t>
            </w:r>
            <w:r>
              <w:t>,</w:t>
            </w:r>
            <w:r w:rsidR="003332BD">
              <w:t xml:space="preserve"> right? W</w:t>
            </w:r>
            <w:r w:rsidRPr="00DA7018">
              <w:t>e know that</w:t>
            </w:r>
            <w:r w:rsidR="003332BD">
              <w:t>,</w:t>
            </w:r>
            <w:r w:rsidRPr="00DA7018">
              <w:t xml:space="preserve"> for sure</w:t>
            </w:r>
            <w:r>
              <w:t>.</w:t>
            </w:r>
          </w:p>
        </w:tc>
      </w:tr>
      <w:tr w:rsidR="00A8589E" w14:paraId="4A13F3B3" w14:textId="77777777" w:rsidTr="009A22A2">
        <w:tc>
          <w:tcPr>
            <w:tcW w:w="565" w:type="dxa"/>
          </w:tcPr>
          <w:p w14:paraId="504529F9" w14:textId="77777777" w:rsidR="00A8589E" w:rsidRDefault="00A8589E" w:rsidP="00BD272D">
            <w:pPr>
              <w:spacing w:line="276" w:lineRule="auto"/>
              <w:jc w:val="right"/>
            </w:pPr>
          </w:p>
        </w:tc>
        <w:tc>
          <w:tcPr>
            <w:tcW w:w="1350" w:type="dxa"/>
          </w:tcPr>
          <w:p w14:paraId="08680C74" w14:textId="77777777" w:rsidR="00A8589E" w:rsidRDefault="00A8589E" w:rsidP="00BD272D">
            <w:pPr>
              <w:spacing w:line="276" w:lineRule="auto"/>
              <w:jc w:val="right"/>
            </w:pPr>
          </w:p>
        </w:tc>
        <w:tc>
          <w:tcPr>
            <w:tcW w:w="7650" w:type="dxa"/>
          </w:tcPr>
          <w:p w14:paraId="1AB26D33" w14:textId="77777777" w:rsidR="00A8589E" w:rsidRPr="00DA7018" w:rsidRDefault="00A8589E" w:rsidP="00BD272D">
            <w:pPr>
              <w:spacing w:line="276" w:lineRule="auto"/>
            </w:pPr>
            <w:r>
              <w:t>[…]</w:t>
            </w:r>
          </w:p>
        </w:tc>
      </w:tr>
      <w:tr w:rsidR="00A8589E" w14:paraId="47D4A0AB" w14:textId="77777777" w:rsidTr="009A22A2">
        <w:tc>
          <w:tcPr>
            <w:tcW w:w="565" w:type="dxa"/>
          </w:tcPr>
          <w:p w14:paraId="7A790060" w14:textId="0BF7CFC8" w:rsidR="00A8589E" w:rsidRDefault="00BD272D" w:rsidP="00BD272D">
            <w:pPr>
              <w:spacing w:line="276" w:lineRule="auto"/>
              <w:jc w:val="right"/>
            </w:pPr>
            <w:r>
              <w:t>24</w:t>
            </w:r>
          </w:p>
        </w:tc>
        <w:tc>
          <w:tcPr>
            <w:tcW w:w="1350" w:type="dxa"/>
          </w:tcPr>
          <w:p w14:paraId="0F1067BA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03680000" w14:textId="76508A02" w:rsidR="00A8589E" w:rsidRDefault="003332BD" w:rsidP="00BD272D">
            <w:pPr>
              <w:spacing w:line="276" w:lineRule="auto"/>
            </w:pPr>
            <w:r>
              <w:t xml:space="preserve">Alright. </w:t>
            </w:r>
            <w:r w:rsidR="00A8589E">
              <w:t>So</w:t>
            </w:r>
            <w:r>
              <w:t>,</w:t>
            </w:r>
            <w:r w:rsidR="00A8589E">
              <w:t xml:space="preserve"> what was your conclusion? I see that you wrote down six-tenths</w:t>
            </w:r>
            <w:r>
              <w:t>. What is your conclusion?</w:t>
            </w:r>
            <w:r w:rsidR="00A8589E">
              <w:t xml:space="preserve"> </w:t>
            </w:r>
            <w:r>
              <w:t>W</w:t>
            </w:r>
            <w:r w:rsidR="00A8589E" w:rsidRPr="00DA7018">
              <w:t>hich one</w:t>
            </w:r>
            <w:r>
              <w:t xml:space="preserve">’s </w:t>
            </w:r>
            <w:r w:rsidR="00A8589E" w:rsidRPr="00DA7018">
              <w:t>greater</w:t>
            </w:r>
            <w:r>
              <w:t>?</w:t>
            </w:r>
            <w:r w:rsidR="00A8589E" w:rsidRPr="00DA7018">
              <w:t xml:space="preserve"> </w:t>
            </w:r>
            <w:r>
              <w:t>Which one’s</w:t>
            </w:r>
            <w:r w:rsidR="00A8589E" w:rsidRPr="00DA7018">
              <w:t xml:space="preserve"> less</w:t>
            </w:r>
            <w:r>
              <w:t>? O</w:t>
            </w:r>
            <w:r w:rsidR="00A8589E" w:rsidRPr="00DA7018">
              <w:t>r are they equal?</w:t>
            </w:r>
          </w:p>
        </w:tc>
      </w:tr>
      <w:tr w:rsidR="00A8589E" w14:paraId="75BDC1C1" w14:textId="77777777" w:rsidTr="009A22A2">
        <w:tc>
          <w:tcPr>
            <w:tcW w:w="565" w:type="dxa"/>
          </w:tcPr>
          <w:p w14:paraId="4324A174" w14:textId="17E6BF64" w:rsidR="00A8589E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3</w:t>
            </w:r>
          </w:p>
        </w:tc>
        <w:tc>
          <w:tcPr>
            <w:tcW w:w="1350" w:type="dxa"/>
          </w:tcPr>
          <w:p w14:paraId="6F52B71B" w14:textId="77777777" w:rsidR="00A8589E" w:rsidRDefault="00A8589E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53476A16" w14:textId="0AF86FE7" w:rsidR="00A8589E" w:rsidRDefault="003332BD" w:rsidP="00BD272D">
            <w:pPr>
              <w:spacing w:line="276" w:lineRule="auto"/>
            </w:pPr>
            <w:r>
              <w:t>Ah, f</w:t>
            </w:r>
            <w:r w:rsidR="00A8589E">
              <w:t>our-sixths is greater because four is closer</w:t>
            </w:r>
            <w:r>
              <w:t xml:space="preserve"> – closer</w:t>
            </w:r>
            <w:r w:rsidR="00A8589E">
              <w:t xml:space="preserve"> to the denominator</w:t>
            </w:r>
            <w:r>
              <w:t>… And six is further.</w:t>
            </w:r>
          </w:p>
        </w:tc>
      </w:tr>
      <w:tr w:rsidR="00A8589E" w14:paraId="61341C43" w14:textId="77777777" w:rsidTr="009A22A2">
        <w:tc>
          <w:tcPr>
            <w:tcW w:w="565" w:type="dxa"/>
          </w:tcPr>
          <w:p w14:paraId="0BBEFB4F" w14:textId="31C7AA79" w:rsidR="00A8589E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5</w:t>
            </w:r>
          </w:p>
        </w:tc>
        <w:tc>
          <w:tcPr>
            <w:tcW w:w="1350" w:type="dxa"/>
          </w:tcPr>
          <w:p w14:paraId="38BBB248" w14:textId="77777777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13B350EC" w14:textId="051B7BC5" w:rsidR="00A8589E" w:rsidRDefault="003332BD" w:rsidP="00BD272D">
            <w:pPr>
              <w:spacing w:line="276" w:lineRule="auto"/>
            </w:pPr>
            <w:r>
              <w:t xml:space="preserve">Okay. </w:t>
            </w:r>
            <w:r w:rsidR="00A8589E" w:rsidRPr="00DA7018">
              <w:t>So let me just make sure I under</w:t>
            </w:r>
            <w:r>
              <w:t>stand. Y</w:t>
            </w:r>
            <w:r w:rsidR="00A8589E">
              <w:t>ou’re saying that four-sixths</w:t>
            </w:r>
            <w:r w:rsidR="00A8589E" w:rsidRPr="00DA7018">
              <w:t xml:space="preserve"> is the bigger fraction – it’s greater. Does a</w:t>
            </w:r>
            <w:r w:rsidR="00A8589E">
              <w:t>nyone know how I would write four-sixths</w:t>
            </w:r>
            <w:r w:rsidR="00A8589E" w:rsidRPr="00DA7018">
              <w:t xml:space="preserve"> is greater</w:t>
            </w:r>
            <w:r w:rsidR="00A8589E">
              <w:t>?</w:t>
            </w:r>
          </w:p>
        </w:tc>
      </w:tr>
      <w:tr w:rsidR="006750CC" w14:paraId="6711989B" w14:textId="77777777" w:rsidTr="009A22A2">
        <w:tc>
          <w:tcPr>
            <w:tcW w:w="565" w:type="dxa"/>
          </w:tcPr>
          <w:p w14:paraId="1FF90F0E" w14:textId="610C62C4" w:rsidR="006750CC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6</w:t>
            </w:r>
          </w:p>
        </w:tc>
        <w:tc>
          <w:tcPr>
            <w:tcW w:w="1350" w:type="dxa"/>
          </w:tcPr>
          <w:p w14:paraId="30C360AE" w14:textId="2918730A" w:rsidR="006750CC" w:rsidRDefault="006750CC" w:rsidP="00BD272D">
            <w:pPr>
              <w:spacing w:line="276" w:lineRule="auto"/>
              <w:jc w:val="right"/>
            </w:pPr>
            <w:r>
              <w:t>Chamari:</w:t>
            </w:r>
          </w:p>
        </w:tc>
        <w:tc>
          <w:tcPr>
            <w:tcW w:w="7650" w:type="dxa"/>
          </w:tcPr>
          <w:p w14:paraId="5260CFD2" w14:textId="2A01FC5C" w:rsidR="006750CC" w:rsidRDefault="006750CC" w:rsidP="00BD272D">
            <w:pPr>
              <w:spacing w:line="276" w:lineRule="auto"/>
            </w:pPr>
            <w:r>
              <w:t>Yeah.</w:t>
            </w:r>
          </w:p>
        </w:tc>
      </w:tr>
      <w:tr w:rsidR="006750CC" w14:paraId="3E1E9965" w14:textId="77777777" w:rsidTr="009A22A2">
        <w:tc>
          <w:tcPr>
            <w:tcW w:w="565" w:type="dxa"/>
          </w:tcPr>
          <w:p w14:paraId="6FEC00A0" w14:textId="345E0E1E" w:rsidR="006750CC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7</w:t>
            </w:r>
          </w:p>
        </w:tc>
        <w:tc>
          <w:tcPr>
            <w:tcW w:w="1350" w:type="dxa"/>
          </w:tcPr>
          <w:p w14:paraId="4BE0E81F" w14:textId="36EF9DF8" w:rsidR="006750CC" w:rsidRDefault="006750CC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0E35B99E" w14:textId="218C0A9D" w:rsidR="006750CC" w:rsidRDefault="006750CC" w:rsidP="00BD272D">
            <w:pPr>
              <w:spacing w:line="276" w:lineRule="auto"/>
            </w:pPr>
            <w:r>
              <w:t>So. Does anyone know how I would write four-sixths is greater?</w:t>
            </w:r>
          </w:p>
        </w:tc>
      </w:tr>
      <w:tr w:rsidR="006750CC" w14:paraId="7A050D8B" w14:textId="77777777" w:rsidTr="009A22A2">
        <w:tc>
          <w:tcPr>
            <w:tcW w:w="565" w:type="dxa"/>
          </w:tcPr>
          <w:p w14:paraId="0CC4F262" w14:textId="7F540CC4" w:rsidR="006750CC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8</w:t>
            </w:r>
          </w:p>
        </w:tc>
        <w:tc>
          <w:tcPr>
            <w:tcW w:w="1350" w:type="dxa"/>
          </w:tcPr>
          <w:p w14:paraId="7A93582A" w14:textId="59D647F5" w:rsidR="006750CC" w:rsidRDefault="006750CC" w:rsidP="00BD272D">
            <w:pPr>
              <w:spacing w:line="276" w:lineRule="auto"/>
              <w:jc w:val="right"/>
            </w:pPr>
            <w:r>
              <w:t>Ari:</w:t>
            </w:r>
          </w:p>
        </w:tc>
        <w:tc>
          <w:tcPr>
            <w:tcW w:w="7650" w:type="dxa"/>
          </w:tcPr>
          <w:p w14:paraId="01AA36CD" w14:textId="34A2A9F5" w:rsidR="006750CC" w:rsidRDefault="006750CC" w:rsidP="00BD272D">
            <w:pPr>
              <w:spacing w:line="276" w:lineRule="auto"/>
            </w:pPr>
            <w:r>
              <w:t>Yes.</w:t>
            </w:r>
          </w:p>
        </w:tc>
      </w:tr>
      <w:tr w:rsidR="00A8589E" w14:paraId="59ABF8BA" w14:textId="77777777" w:rsidTr="009A22A2">
        <w:tc>
          <w:tcPr>
            <w:tcW w:w="565" w:type="dxa"/>
          </w:tcPr>
          <w:p w14:paraId="41591C2C" w14:textId="3CC7DE4A" w:rsidR="00A8589E" w:rsidRDefault="0021626A" w:rsidP="00BD272D">
            <w:pPr>
              <w:spacing w:line="276" w:lineRule="auto"/>
              <w:jc w:val="right"/>
            </w:pPr>
            <w:r>
              <w:t>2</w:t>
            </w:r>
            <w:r w:rsidR="00BD272D">
              <w:t>9</w:t>
            </w:r>
          </w:p>
        </w:tc>
        <w:tc>
          <w:tcPr>
            <w:tcW w:w="1350" w:type="dxa"/>
          </w:tcPr>
          <w:p w14:paraId="129A9C54" w14:textId="77777777" w:rsidR="00A8589E" w:rsidRDefault="00A8589E" w:rsidP="00BD272D">
            <w:pPr>
              <w:spacing w:line="276" w:lineRule="auto"/>
              <w:jc w:val="right"/>
            </w:pPr>
            <w:r>
              <w:t>Ms, M:</w:t>
            </w:r>
          </w:p>
        </w:tc>
        <w:tc>
          <w:tcPr>
            <w:tcW w:w="7650" w:type="dxa"/>
          </w:tcPr>
          <w:p w14:paraId="506BFBE9" w14:textId="24B210B9" w:rsidR="00A8589E" w:rsidRDefault="00A8589E" w:rsidP="00BD272D">
            <w:pPr>
              <w:spacing w:line="276" w:lineRule="auto"/>
            </w:pPr>
            <w:r>
              <w:t>Can you come up and show me?</w:t>
            </w:r>
            <w:r w:rsidR="006750CC">
              <w:t xml:space="preserve"> And so, Trinity and Michael and Jason, can you look over her?</w:t>
            </w:r>
          </w:p>
        </w:tc>
      </w:tr>
      <w:tr w:rsidR="00A8589E" w14:paraId="2227DEEA" w14:textId="77777777" w:rsidTr="009A22A2">
        <w:tc>
          <w:tcPr>
            <w:tcW w:w="565" w:type="dxa"/>
          </w:tcPr>
          <w:p w14:paraId="3571E4AB" w14:textId="7287FCAA" w:rsidR="00A8589E" w:rsidRDefault="00BD272D" w:rsidP="00BD272D">
            <w:pPr>
              <w:spacing w:line="276" w:lineRule="auto"/>
              <w:jc w:val="right"/>
            </w:pPr>
            <w:r>
              <w:t>30</w:t>
            </w:r>
          </w:p>
        </w:tc>
        <w:tc>
          <w:tcPr>
            <w:tcW w:w="1350" w:type="dxa"/>
          </w:tcPr>
          <w:p w14:paraId="6D5E3994" w14:textId="6F60A73D" w:rsidR="00A8589E" w:rsidRDefault="006750CC" w:rsidP="00BD272D">
            <w:pPr>
              <w:spacing w:line="276" w:lineRule="auto"/>
              <w:jc w:val="right"/>
            </w:pPr>
            <w:r>
              <w:t>Ari</w:t>
            </w:r>
            <w:r w:rsidR="00A8589E">
              <w:t>:</w:t>
            </w:r>
          </w:p>
        </w:tc>
        <w:tc>
          <w:tcPr>
            <w:tcW w:w="7650" w:type="dxa"/>
          </w:tcPr>
          <w:p w14:paraId="52D3CB37" w14:textId="7CBFF6D7" w:rsidR="00A8589E" w:rsidRPr="004F3CDF" w:rsidRDefault="00A8589E" w:rsidP="00BD272D">
            <w:pPr>
              <w:spacing w:line="276" w:lineRule="auto"/>
              <w:rPr>
                <w:sz w:val="28"/>
                <w:szCs w:val="28"/>
              </w:rPr>
            </w:pPr>
            <w:r>
              <w:t xml:space="preserve">[Walks to the whiteboard and fills in the symbol so the comparison looks like: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>
              <w:rPr>
                <w:sz w:val="28"/>
                <w:szCs w:val="28"/>
              </w:rPr>
              <w:t xml:space="preserve"> ]</w:t>
            </w:r>
          </w:p>
        </w:tc>
      </w:tr>
      <w:tr w:rsidR="006750CC" w14:paraId="02E251F9" w14:textId="77777777" w:rsidTr="009A22A2">
        <w:tc>
          <w:tcPr>
            <w:tcW w:w="565" w:type="dxa"/>
          </w:tcPr>
          <w:p w14:paraId="0AC65D6B" w14:textId="1141BD94" w:rsidR="006750CC" w:rsidRDefault="00BD272D" w:rsidP="00BD272D">
            <w:pPr>
              <w:spacing w:line="276" w:lineRule="auto"/>
              <w:jc w:val="right"/>
            </w:pPr>
            <w:r>
              <w:t>31</w:t>
            </w:r>
          </w:p>
        </w:tc>
        <w:tc>
          <w:tcPr>
            <w:tcW w:w="1350" w:type="dxa"/>
          </w:tcPr>
          <w:p w14:paraId="76FA8CD6" w14:textId="3F6F725B" w:rsidR="006750CC" w:rsidRDefault="006750CC" w:rsidP="00BD272D">
            <w:pPr>
              <w:spacing w:line="276" w:lineRule="auto"/>
              <w:jc w:val="right"/>
            </w:pPr>
            <w:r>
              <w:t>Students:</w:t>
            </w:r>
          </w:p>
        </w:tc>
        <w:tc>
          <w:tcPr>
            <w:tcW w:w="7650" w:type="dxa"/>
          </w:tcPr>
          <w:p w14:paraId="04F9EC13" w14:textId="3182F00B" w:rsidR="006750CC" w:rsidRDefault="006750CC" w:rsidP="00BD272D">
            <w:pPr>
              <w:spacing w:line="276" w:lineRule="auto"/>
            </w:pPr>
            <w:r>
              <w:t>No. Yes.</w:t>
            </w:r>
          </w:p>
        </w:tc>
      </w:tr>
      <w:tr w:rsidR="00A8589E" w14:paraId="65B9E960" w14:textId="77777777" w:rsidTr="009A22A2">
        <w:tc>
          <w:tcPr>
            <w:tcW w:w="565" w:type="dxa"/>
          </w:tcPr>
          <w:p w14:paraId="2A06CEE6" w14:textId="70842043" w:rsidR="00A8589E" w:rsidRDefault="00BD272D" w:rsidP="00BD272D">
            <w:pPr>
              <w:spacing w:line="276" w:lineRule="auto"/>
              <w:jc w:val="right"/>
            </w:pPr>
            <w:r>
              <w:t>32</w:t>
            </w:r>
          </w:p>
        </w:tc>
        <w:tc>
          <w:tcPr>
            <w:tcW w:w="1350" w:type="dxa"/>
          </w:tcPr>
          <w:p w14:paraId="623C05AD" w14:textId="283AED54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33B29990" w14:textId="77AF871B" w:rsidR="00A8589E" w:rsidRDefault="00A8589E" w:rsidP="00BD272D">
            <w:pPr>
              <w:spacing w:line="276" w:lineRule="auto"/>
            </w:pPr>
            <w:r>
              <w:t>So, who can tell me which one says that four-sixths is greater? The top one or the bottom one?</w:t>
            </w:r>
          </w:p>
        </w:tc>
      </w:tr>
      <w:tr w:rsidR="00A8589E" w14:paraId="4B63432D" w14:textId="77777777" w:rsidTr="009A22A2">
        <w:tc>
          <w:tcPr>
            <w:tcW w:w="565" w:type="dxa"/>
          </w:tcPr>
          <w:p w14:paraId="10EDD1ED" w14:textId="5A8DC6A9" w:rsidR="00A8589E" w:rsidRDefault="00BD272D" w:rsidP="00BD272D">
            <w:pPr>
              <w:spacing w:line="276" w:lineRule="auto"/>
              <w:jc w:val="right"/>
            </w:pPr>
            <w:r>
              <w:t>33</w:t>
            </w:r>
          </w:p>
        </w:tc>
        <w:tc>
          <w:tcPr>
            <w:tcW w:w="1350" w:type="dxa"/>
          </w:tcPr>
          <w:p w14:paraId="0E9B1B10" w14:textId="5308DAB1" w:rsidR="00A8589E" w:rsidRDefault="006750CC" w:rsidP="00BD272D">
            <w:pPr>
              <w:spacing w:line="276" w:lineRule="auto"/>
              <w:jc w:val="right"/>
            </w:pPr>
            <w:r>
              <w:t>Student</w:t>
            </w:r>
            <w:r w:rsidR="00ED5C3C">
              <w:t xml:space="preserve"> 2</w:t>
            </w:r>
            <w:r w:rsidR="00A8589E">
              <w:t>:</w:t>
            </w:r>
          </w:p>
        </w:tc>
        <w:tc>
          <w:tcPr>
            <w:tcW w:w="7650" w:type="dxa"/>
          </w:tcPr>
          <w:p w14:paraId="6F69DD7F" w14:textId="073F9E75" w:rsidR="00A8589E" w:rsidRDefault="00A8589E" w:rsidP="00BD272D">
            <w:pPr>
              <w:spacing w:line="276" w:lineRule="auto"/>
            </w:pPr>
            <w:r>
              <w:t>Bottom</w:t>
            </w:r>
            <w:r w:rsidR="006750CC">
              <w:t>.</w:t>
            </w:r>
          </w:p>
        </w:tc>
      </w:tr>
      <w:tr w:rsidR="00A8589E" w14:paraId="0C59A0E8" w14:textId="77777777" w:rsidTr="009A22A2">
        <w:tc>
          <w:tcPr>
            <w:tcW w:w="565" w:type="dxa"/>
          </w:tcPr>
          <w:p w14:paraId="034A525E" w14:textId="24A1761F" w:rsidR="00A8589E" w:rsidRDefault="0021626A" w:rsidP="00BD272D">
            <w:pPr>
              <w:spacing w:line="276" w:lineRule="auto"/>
              <w:jc w:val="right"/>
            </w:pPr>
            <w:r>
              <w:t>3</w:t>
            </w:r>
            <w:r w:rsidR="00BD272D">
              <w:t>4</w:t>
            </w:r>
          </w:p>
        </w:tc>
        <w:tc>
          <w:tcPr>
            <w:tcW w:w="1350" w:type="dxa"/>
          </w:tcPr>
          <w:p w14:paraId="55468862" w14:textId="657E979B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0DEB0634" w14:textId="448AFF68" w:rsidR="00A8589E" w:rsidRDefault="00A8589E" w:rsidP="00BD272D">
            <w:pPr>
              <w:spacing w:line="276" w:lineRule="auto"/>
            </w:pPr>
            <w:r>
              <w:t>Why?</w:t>
            </w:r>
          </w:p>
        </w:tc>
      </w:tr>
      <w:tr w:rsidR="006750CC" w14:paraId="1E1EF1E0" w14:textId="77777777" w:rsidTr="009A22A2">
        <w:tc>
          <w:tcPr>
            <w:tcW w:w="565" w:type="dxa"/>
          </w:tcPr>
          <w:p w14:paraId="7748F04F" w14:textId="26E129D0" w:rsidR="006750CC" w:rsidRDefault="00BD272D" w:rsidP="00BD272D">
            <w:pPr>
              <w:spacing w:line="276" w:lineRule="auto"/>
              <w:jc w:val="right"/>
            </w:pPr>
            <w:r>
              <w:t>35</w:t>
            </w:r>
          </w:p>
        </w:tc>
        <w:tc>
          <w:tcPr>
            <w:tcW w:w="1350" w:type="dxa"/>
          </w:tcPr>
          <w:p w14:paraId="4437EDCD" w14:textId="15BAA8B2" w:rsidR="006750CC" w:rsidRDefault="006750CC" w:rsidP="00BD272D">
            <w:pPr>
              <w:spacing w:line="276" w:lineRule="auto"/>
              <w:jc w:val="right"/>
            </w:pPr>
            <w:r>
              <w:t>Student</w:t>
            </w:r>
            <w:r w:rsidR="00ED5C3C">
              <w:t xml:space="preserve"> 2</w:t>
            </w:r>
            <w:r>
              <w:t>:</w:t>
            </w:r>
          </w:p>
        </w:tc>
        <w:tc>
          <w:tcPr>
            <w:tcW w:w="7650" w:type="dxa"/>
          </w:tcPr>
          <w:p w14:paraId="30AAA8EA" w14:textId="18D84D82" w:rsidR="006750CC" w:rsidRDefault="006750CC" w:rsidP="00BD272D">
            <w:pPr>
              <w:spacing w:line="276" w:lineRule="auto"/>
            </w:pPr>
            <w:r>
              <w:t>Because, the – where the…</w:t>
            </w:r>
          </w:p>
        </w:tc>
      </w:tr>
      <w:tr w:rsidR="0021626A" w14:paraId="61134F9E" w14:textId="77777777" w:rsidTr="009A22A2">
        <w:tc>
          <w:tcPr>
            <w:tcW w:w="565" w:type="dxa"/>
          </w:tcPr>
          <w:p w14:paraId="6DE07828" w14:textId="567FA14B" w:rsidR="0021626A" w:rsidRDefault="0021626A" w:rsidP="00BD272D">
            <w:pPr>
              <w:spacing w:line="276" w:lineRule="auto"/>
              <w:jc w:val="right"/>
            </w:pPr>
            <w:r>
              <w:t>3</w:t>
            </w:r>
            <w:r w:rsidR="00BD272D">
              <w:t>6</w:t>
            </w:r>
          </w:p>
        </w:tc>
        <w:tc>
          <w:tcPr>
            <w:tcW w:w="1350" w:type="dxa"/>
          </w:tcPr>
          <w:p w14:paraId="576E899F" w14:textId="3CE239CA" w:rsidR="0021626A" w:rsidRDefault="0021626A" w:rsidP="00BD272D">
            <w:pPr>
              <w:spacing w:line="276" w:lineRule="auto"/>
              <w:jc w:val="right"/>
            </w:pPr>
            <w:r>
              <w:t xml:space="preserve">Ms. M: </w:t>
            </w:r>
          </w:p>
        </w:tc>
        <w:tc>
          <w:tcPr>
            <w:tcW w:w="7650" w:type="dxa"/>
          </w:tcPr>
          <w:p w14:paraId="46A2729A" w14:textId="4DCFC89C" w:rsidR="0021626A" w:rsidRDefault="0021626A" w:rsidP="00BD272D">
            <w:pPr>
              <w:spacing w:line="276" w:lineRule="auto"/>
            </w:pPr>
            <w:r>
              <w:t>So, this is a symbol.</w:t>
            </w:r>
          </w:p>
        </w:tc>
      </w:tr>
      <w:tr w:rsidR="00A8589E" w14:paraId="226C19D7" w14:textId="77777777" w:rsidTr="009A22A2">
        <w:tc>
          <w:tcPr>
            <w:tcW w:w="565" w:type="dxa"/>
          </w:tcPr>
          <w:p w14:paraId="221065CC" w14:textId="4D159615" w:rsidR="00A8589E" w:rsidRDefault="0021626A" w:rsidP="00BD272D">
            <w:pPr>
              <w:spacing w:line="276" w:lineRule="auto"/>
              <w:jc w:val="right"/>
            </w:pPr>
            <w:r>
              <w:t>3</w:t>
            </w:r>
            <w:r w:rsidR="00BD272D">
              <w:t>7</w:t>
            </w:r>
          </w:p>
        </w:tc>
        <w:tc>
          <w:tcPr>
            <w:tcW w:w="1350" w:type="dxa"/>
          </w:tcPr>
          <w:p w14:paraId="6A1DF9E1" w14:textId="34E679D3" w:rsidR="00A8589E" w:rsidRDefault="006750CC" w:rsidP="00BD272D">
            <w:pPr>
              <w:spacing w:line="276" w:lineRule="auto"/>
              <w:jc w:val="right"/>
            </w:pPr>
            <w:r>
              <w:t>Student</w:t>
            </w:r>
            <w:r w:rsidR="00ED5C3C">
              <w:t>s</w:t>
            </w:r>
            <w:r w:rsidR="00A8589E">
              <w:t>:</w:t>
            </w:r>
          </w:p>
        </w:tc>
        <w:tc>
          <w:tcPr>
            <w:tcW w:w="7650" w:type="dxa"/>
          </w:tcPr>
          <w:p w14:paraId="1B08247A" w14:textId="2265FD66" w:rsidR="00A8589E" w:rsidRDefault="00A8589E" w:rsidP="00BD272D">
            <w:pPr>
              <w:spacing w:line="276" w:lineRule="auto"/>
            </w:pPr>
            <w:r>
              <w:t>[overlapping explanations]</w:t>
            </w:r>
          </w:p>
        </w:tc>
      </w:tr>
      <w:tr w:rsidR="00A8589E" w14:paraId="5E1432FD" w14:textId="77777777" w:rsidTr="009A22A2">
        <w:tc>
          <w:tcPr>
            <w:tcW w:w="565" w:type="dxa"/>
          </w:tcPr>
          <w:p w14:paraId="070EE7DE" w14:textId="2E42C43C" w:rsidR="00A8589E" w:rsidRDefault="0021626A" w:rsidP="00BD272D">
            <w:pPr>
              <w:spacing w:line="276" w:lineRule="auto"/>
              <w:jc w:val="right"/>
            </w:pPr>
            <w:r>
              <w:t>3</w:t>
            </w:r>
            <w:r w:rsidR="00BD272D">
              <w:t>8</w:t>
            </w:r>
          </w:p>
        </w:tc>
        <w:tc>
          <w:tcPr>
            <w:tcW w:w="1350" w:type="dxa"/>
          </w:tcPr>
          <w:p w14:paraId="61E1F0D6" w14:textId="47F50055" w:rsidR="00A8589E" w:rsidRDefault="00A8589E" w:rsidP="00BD272D">
            <w:pPr>
              <w:spacing w:line="276" w:lineRule="auto"/>
              <w:jc w:val="right"/>
            </w:pPr>
            <w:r>
              <w:t>Ms. M:</w:t>
            </w:r>
          </w:p>
        </w:tc>
        <w:tc>
          <w:tcPr>
            <w:tcW w:w="7650" w:type="dxa"/>
          </w:tcPr>
          <w:p w14:paraId="33E11CA2" w14:textId="50968F56" w:rsidR="00A8589E" w:rsidRDefault="00A8589E" w:rsidP="00BD272D">
            <w:pPr>
              <w:spacing w:line="276" w:lineRule="auto"/>
            </w:pPr>
            <w:r>
              <w:t>Yeah</w:t>
            </w:r>
            <w:r w:rsidR="0021626A">
              <w:t>.</w:t>
            </w:r>
            <w:r>
              <w:t xml:space="preserve"> </w:t>
            </w:r>
            <w:r w:rsidR="0021626A">
              <w:t>And we can</w:t>
            </w:r>
            <w:r w:rsidRPr="004F3CDF">
              <w:t xml:space="preserve"> make it as simple as that</w:t>
            </w:r>
            <w:r w:rsidR="0021626A">
              <w:t>, right? We can say…</w:t>
            </w:r>
            <w:r w:rsidRPr="004F3CDF">
              <w:t xml:space="preserve"> </w:t>
            </w:r>
            <w:r w:rsidR="0021626A">
              <w:t xml:space="preserve"> And</w:t>
            </w:r>
            <w:r w:rsidRPr="004F3CDF">
              <w:t xml:space="preserve"> that’s just how I remember it</w:t>
            </w:r>
            <w:r w:rsidR="0021626A">
              <w:t xml:space="preserve">. Like, oh yeah, </w:t>
            </w:r>
            <w:r w:rsidRPr="004F3CDF">
              <w:t xml:space="preserve">this is </w:t>
            </w:r>
            <w:r w:rsidR="0021626A">
              <w:t xml:space="preserve">like </w:t>
            </w:r>
            <w:r w:rsidRPr="004F3CDF">
              <w:t xml:space="preserve">the bigger size </w:t>
            </w:r>
            <w:r w:rsidR="0021626A">
              <w:t>… A</w:t>
            </w:r>
            <w:r w:rsidRPr="004F3CDF">
              <w:t xml:space="preserve">nd </w:t>
            </w:r>
            <w:r w:rsidR="0021626A">
              <w:t>like kind of</w:t>
            </w:r>
            <w:r w:rsidRPr="004F3CDF">
              <w:t xml:space="preserve"> chomping down</w:t>
            </w:r>
            <w:r w:rsidR="0021626A">
              <w:t xml:space="preserve"> on the bigger</w:t>
            </w:r>
            <w:r w:rsidRPr="00450DF1">
              <w:t xml:space="preserve">. </w:t>
            </w:r>
            <w:r w:rsidR="00450DF1" w:rsidRPr="00450DF1">
              <w:rPr>
                <w:bCs/>
              </w:rPr>
              <w:t>I think you're thinking – I know what you're thinking here. You just have know how to write the symbol.</w:t>
            </w:r>
            <w:r w:rsidR="00450DF1">
              <w:rPr>
                <w:bCs/>
              </w:rPr>
              <w:t xml:space="preserve"> Okay?</w:t>
            </w:r>
            <w:r w:rsidR="00450DF1" w:rsidRPr="00450DF1">
              <w:rPr>
                <w:bCs/>
              </w:rPr>
              <w:t xml:space="preserve"> </w:t>
            </w:r>
            <w:r w:rsidR="00450DF1">
              <w:t xml:space="preserve">So, </w:t>
            </w:r>
            <w:r w:rsidRPr="004F3CDF">
              <w:t xml:space="preserve">who else wants to explain </w:t>
            </w:r>
            <w:r w:rsidR="00450DF1">
              <w:t>or maybe</w:t>
            </w:r>
            <w:r>
              <w:t xml:space="preserve"> agree or disagree?</w:t>
            </w:r>
            <w:r w:rsidR="00450DF1">
              <w:t xml:space="preserve"> Chamari is saying that six-tenths </w:t>
            </w:r>
            <w:r w:rsidRPr="004F3CDF">
              <w:t>is less than 4/6.</w:t>
            </w:r>
          </w:p>
        </w:tc>
      </w:tr>
      <w:tr w:rsidR="0021626A" w14:paraId="21C91304" w14:textId="77777777" w:rsidTr="009A22A2">
        <w:tc>
          <w:tcPr>
            <w:tcW w:w="565" w:type="dxa"/>
          </w:tcPr>
          <w:p w14:paraId="13ADC6AD" w14:textId="77777777" w:rsidR="0021626A" w:rsidRDefault="0021626A" w:rsidP="00BD272D">
            <w:pPr>
              <w:spacing w:line="276" w:lineRule="auto"/>
            </w:pPr>
          </w:p>
        </w:tc>
        <w:tc>
          <w:tcPr>
            <w:tcW w:w="1350" w:type="dxa"/>
          </w:tcPr>
          <w:p w14:paraId="0CAB9692" w14:textId="77777777" w:rsidR="0021626A" w:rsidRDefault="0021626A" w:rsidP="00BD272D">
            <w:pPr>
              <w:spacing w:line="276" w:lineRule="auto"/>
              <w:jc w:val="right"/>
            </w:pPr>
          </w:p>
        </w:tc>
        <w:tc>
          <w:tcPr>
            <w:tcW w:w="7650" w:type="dxa"/>
          </w:tcPr>
          <w:p w14:paraId="2DBC099A" w14:textId="475B7EFF" w:rsidR="0021626A" w:rsidRDefault="00A17B45" w:rsidP="00BD272D">
            <w:pPr>
              <w:spacing w:line="276" w:lineRule="auto"/>
            </w:pPr>
            <w:r>
              <w:t>[Class discussion continues]</w:t>
            </w:r>
          </w:p>
        </w:tc>
      </w:tr>
    </w:tbl>
    <w:p w14:paraId="6E9F79FE" w14:textId="72C7F99D" w:rsidR="00DA7018" w:rsidRDefault="00DA7018"/>
    <w:sectPr w:rsidR="00DA7018" w:rsidSect="00DA701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D3E60" w14:textId="77777777" w:rsidR="00EF42AB" w:rsidRDefault="00EF42AB" w:rsidP="000E3168">
      <w:r>
        <w:separator/>
      </w:r>
    </w:p>
  </w:endnote>
  <w:endnote w:type="continuationSeparator" w:id="0">
    <w:p w14:paraId="657F2C4F" w14:textId="77777777" w:rsidR="00EF42AB" w:rsidRDefault="00EF42AB" w:rsidP="000E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D8A2E" w14:textId="77777777" w:rsidR="00CB028A" w:rsidRDefault="00CB028A" w:rsidP="00E67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83B627" w14:textId="77777777" w:rsidR="00CB028A" w:rsidRDefault="00CB028A" w:rsidP="00CB02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A75B" w14:textId="12369828" w:rsidR="000E3168" w:rsidRPr="00D26977" w:rsidRDefault="00D26977" w:rsidP="00D26977">
    <w:pPr>
      <w:pStyle w:val="Footer"/>
      <w:tabs>
        <w:tab w:val="left" w:pos="801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>
      <w:rPr>
        <w:rFonts w:ascii="Arial" w:hAnsi="Arial" w:cs="Arial"/>
        <w:i/>
        <w:sz w:val="21"/>
        <w:szCs w:val="21"/>
      </w:rPr>
      <w:t xml:space="preserve"> – Handout 4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EF42AB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EF42AB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0234" w14:textId="77777777" w:rsidR="00EF42AB" w:rsidRDefault="00EF42AB" w:rsidP="000E3168">
      <w:r>
        <w:separator/>
      </w:r>
    </w:p>
  </w:footnote>
  <w:footnote w:type="continuationSeparator" w:id="0">
    <w:p w14:paraId="1A18DFA9" w14:textId="77777777" w:rsidR="00EF42AB" w:rsidRDefault="00EF42AB" w:rsidP="000E3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8"/>
    <w:rsid w:val="00015D5E"/>
    <w:rsid w:val="000E3168"/>
    <w:rsid w:val="0021626A"/>
    <w:rsid w:val="002B1389"/>
    <w:rsid w:val="002D1B3B"/>
    <w:rsid w:val="003332BD"/>
    <w:rsid w:val="00450DF1"/>
    <w:rsid w:val="00471E51"/>
    <w:rsid w:val="004905B6"/>
    <w:rsid w:val="004F3CDF"/>
    <w:rsid w:val="005306D9"/>
    <w:rsid w:val="006750CC"/>
    <w:rsid w:val="00756587"/>
    <w:rsid w:val="008C303D"/>
    <w:rsid w:val="009806BD"/>
    <w:rsid w:val="009A22A2"/>
    <w:rsid w:val="00A17B45"/>
    <w:rsid w:val="00A8589E"/>
    <w:rsid w:val="00BD272D"/>
    <w:rsid w:val="00BE1074"/>
    <w:rsid w:val="00CB028A"/>
    <w:rsid w:val="00D26977"/>
    <w:rsid w:val="00DA7018"/>
    <w:rsid w:val="00E1409C"/>
    <w:rsid w:val="00ED5C3C"/>
    <w:rsid w:val="00EF42AB"/>
    <w:rsid w:val="00F35F34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66E9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A70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18"/>
  </w:style>
  <w:style w:type="paragraph" w:styleId="BalloonText">
    <w:name w:val="Balloon Text"/>
    <w:basedOn w:val="Normal"/>
    <w:link w:val="BalloonTextChar"/>
    <w:uiPriority w:val="99"/>
    <w:semiHidden/>
    <w:unhideWhenUsed/>
    <w:rsid w:val="00DA70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18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B13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E3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168"/>
  </w:style>
  <w:style w:type="paragraph" w:styleId="Footer">
    <w:name w:val="footer"/>
    <w:basedOn w:val="Normal"/>
    <w:link w:val="FooterChar"/>
    <w:uiPriority w:val="99"/>
    <w:unhideWhenUsed/>
    <w:rsid w:val="000E3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168"/>
  </w:style>
  <w:style w:type="character" w:styleId="PageNumber">
    <w:name w:val="page number"/>
    <w:basedOn w:val="DefaultParagraphFont"/>
    <w:uiPriority w:val="99"/>
    <w:semiHidden/>
    <w:unhideWhenUsed/>
    <w:rsid w:val="00CB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582</Words>
  <Characters>3323</Characters>
  <Application>Microsoft Macintosh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Cavanna</dc:creator>
  <cp:keywords/>
  <dc:description/>
  <cp:lastModifiedBy>Megan Staples</cp:lastModifiedBy>
  <cp:revision>18</cp:revision>
  <dcterms:created xsi:type="dcterms:W3CDTF">2016-03-25T10:40:00Z</dcterms:created>
  <dcterms:modified xsi:type="dcterms:W3CDTF">2016-08-23T01:05:00Z</dcterms:modified>
</cp:coreProperties>
</file>