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7C26C" w14:textId="77777777" w:rsidR="00746E0B" w:rsidRPr="00746E0B" w:rsidRDefault="00746E0B" w:rsidP="00746E0B">
      <w:pPr>
        <w:pStyle w:val="Heading1"/>
        <w:shd w:val="clear" w:color="auto" w:fill="262626" w:themeFill="text1" w:themeFillTint="D9"/>
        <w:spacing w:before="0"/>
        <w:jc w:val="center"/>
        <w:rPr>
          <w:rFonts w:asciiTheme="minorHAnsi" w:hAnsiTheme="minorHAnsi" w:cs="Al Bayan Plain"/>
          <w:color w:val="FFFFFF" w:themeColor="background1"/>
          <w:sz w:val="48"/>
          <w:szCs w:val="48"/>
        </w:rPr>
      </w:pPr>
      <w:r w:rsidRPr="00746E0B">
        <w:rPr>
          <w:rFonts w:asciiTheme="minorHAnsi" w:hAnsiTheme="minorHAnsi" w:cs="Al Bayan Plain"/>
          <w:color w:val="FFFFFF" w:themeColor="background1"/>
          <w:sz w:val="48"/>
          <w:szCs w:val="48"/>
        </w:rPr>
        <w:t>Additional Resources: Module 1</w:t>
      </w:r>
    </w:p>
    <w:p w14:paraId="37DA9069" w14:textId="77777777" w:rsidR="00746E0B" w:rsidRDefault="00746E0B" w:rsidP="00746E0B"/>
    <w:p w14:paraId="56E2EA8E" w14:textId="77777777" w:rsidR="00746E0B" w:rsidRDefault="00746E0B" w:rsidP="00746E0B">
      <w:r>
        <w:rPr>
          <w:b/>
        </w:rPr>
        <w:t>Articles and videos on mathematical argumentation, justification and proof/proving.</w:t>
      </w:r>
    </w:p>
    <w:p w14:paraId="5A4D1E54" w14:textId="77777777" w:rsidR="00746E0B" w:rsidRDefault="00746E0B" w:rsidP="00746E0B">
      <w:r>
        <w:t xml:space="preserve">Cioe, M., King, S., Ostien, D., Pansa, N., &amp; Staples, M. (2015). Moving Students to “the Why?” </w:t>
      </w:r>
    </w:p>
    <w:p w14:paraId="5B916710" w14:textId="77777777" w:rsidR="00746E0B" w:rsidRDefault="00746E0B" w:rsidP="00746E0B">
      <w:pPr>
        <w:ind w:firstLine="720"/>
      </w:pPr>
      <w:r>
        <w:rPr>
          <w:i/>
        </w:rPr>
        <w:t>Mathematics Teaching in the Middle School, 20</w:t>
      </w:r>
      <w:r>
        <w:t>(8), 484–491.</w:t>
      </w:r>
    </w:p>
    <w:p w14:paraId="742BB5E3" w14:textId="77777777" w:rsidR="00746E0B" w:rsidRDefault="00746E0B" w:rsidP="00746E0B">
      <w:pPr>
        <w:ind w:firstLine="720"/>
      </w:pPr>
    </w:p>
    <w:p w14:paraId="4BEDC6F1" w14:textId="77777777" w:rsidR="00746E0B" w:rsidRPr="001C704E" w:rsidRDefault="00746E0B" w:rsidP="00746E0B">
      <w:pPr>
        <w:ind w:left="720" w:hanging="720"/>
      </w:pPr>
      <w:r w:rsidRPr="007B4D95">
        <w:t xml:space="preserve">McDonald, J., Mohr, N., Dichter, A. &amp; McDonald, E. (2003). </w:t>
      </w:r>
      <w:r w:rsidRPr="007B4D95">
        <w:rPr>
          <w:i/>
        </w:rPr>
        <w:t>The po</w:t>
      </w:r>
      <w:r>
        <w:rPr>
          <w:i/>
        </w:rPr>
        <w:t xml:space="preserve">wer of protocols: An </w:t>
      </w:r>
      <w:r w:rsidRPr="007B4D95">
        <w:rPr>
          <w:i/>
        </w:rPr>
        <w:t>educator's guide to better practice</w:t>
      </w:r>
      <w:r w:rsidRPr="007B4D95">
        <w:t>. New York: Teachers College Press.</w:t>
      </w:r>
    </w:p>
    <w:p w14:paraId="7BF5E097" w14:textId="77777777" w:rsidR="00746E0B" w:rsidRDefault="00746E0B" w:rsidP="00746E0B"/>
    <w:p w14:paraId="22B60747" w14:textId="77777777" w:rsidR="00746E0B" w:rsidRDefault="00746E0B" w:rsidP="00746E0B">
      <w:r>
        <w:t xml:space="preserve">Mejía-Ramos, J. P., &amp; Inglis, M. (2009). Argumentative and proving activities in mathematics </w:t>
      </w:r>
    </w:p>
    <w:p w14:paraId="3C42038A" w14:textId="77777777" w:rsidR="00746E0B" w:rsidRDefault="00746E0B" w:rsidP="00746E0B">
      <w:pPr>
        <w:ind w:firstLine="720"/>
      </w:pPr>
      <w:r>
        <w:t xml:space="preserve">education research. In F. Lin &amp; F. Hsieh (Eds.). </w:t>
      </w:r>
      <w:r>
        <w:rPr>
          <w:i/>
        </w:rPr>
        <w:t xml:space="preserve">Proceedings of the ICMI Study 19 </w:t>
      </w:r>
    </w:p>
    <w:p w14:paraId="4B8E8951" w14:textId="77777777" w:rsidR="00746E0B" w:rsidRDefault="00746E0B" w:rsidP="00746E0B">
      <w:pPr>
        <w:ind w:firstLine="720"/>
      </w:pPr>
      <w:r>
        <w:rPr>
          <w:i/>
        </w:rPr>
        <w:t>conference: Proof and Proving in Mathematics Education</w:t>
      </w:r>
      <w:r>
        <w:t xml:space="preserve"> (Vol. 2, pp. 88-93), Taipei, </w:t>
      </w:r>
    </w:p>
    <w:p w14:paraId="3636CD81" w14:textId="77777777" w:rsidR="00746E0B" w:rsidRDefault="00746E0B" w:rsidP="00746E0B">
      <w:pPr>
        <w:ind w:firstLine="720"/>
      </w:pPr>
      <w:r>
        <w:t xml:space="preserve">Taiwan. Retrieved from </w:t>
      </w:r>
      <w:hyperlink r:id="rId6">
        <w:r>
          <w:rPr>
            <w:color w:val="0000FF"/>
            <w:u w:val="single"/>
          </w:rPr>
          <w:t>http://140.122.140.1/~icmi19/files/Volume_2.pdf</w:t>
        </w:r>
      </w:hyperlink>
      <w:r>
        <w:t xml:space="preserve"> </w:t>
      </w:r>
    </w:p>
    <w:p w14:paraId="6F76A8F9" w14:textId="77777777" w:rsidR="00746E0B" w:rsidRDefault="00746E0B" w:rsidP="00746E0B"/>
    <w:p w14:paraId="363D53DD" w14:textId="77777777" w:rsidR="00746E0B" w:rsidRDefault="00746E0B" w:rsidP="00746E0B">
      <w:r>
        <w:t xml:space="preserve">Monte Python’s </w:t>
      </w:r>
      <w:r>
        <w:rPr>
          <w:i/>
        </w:rPr>
        <w:t>Argument Clinic</w:t>
      </w:r>
      <w:r>
        <w:t xml:space="preserve">. </w:t>
      </w:r>
    </w:p>
    <w:p w14:paraId="69C7256A" w14:textId="77777777" w:rsidR="00746E0B" w:rsidRDefault="00746E0B" w:rsidP="00746E0B">
      <w:hyperlink r:id="rId7">
        <w:r>
          <w:rPr>
            <w:color w:val="0000FF"/>
            <w:u w:val="single"/>
          </w:rPr>
          <w:t>https://www.youtube.com/watch?v=kQFKtI6gn9Y&amp;feature=kp</w:t>
        </w:r>
      </w:hyperlink>
      <w:r>
        <w:t xml:space="preserve"> </w:t>
      </w:r>
    </w:p>
    <w:p w14:paraId="17F35570" w14:textId="77777777" w:rsidR="00746E0B" w:rsidRPr="00565254" w:rsidRDefault="00746E0B" w:rsidP="00746E0B">
      <w:pPr>
        <w:ind w:left="720"/>
        <w:rPr>
          <w:sz w:val="22"/>
          <w:szCs w:val="22"/>
        </w:rPr>
      </w:pPr>
      <w:r w:rsidRPr="00565254">
        <w:rPr>
          <w:sz w:val="22"/>
          <w:szCs w:val="22"/>
        </w:rPr>
        <w:t>We have used the first 3:50, but do not play 0:38 – 1:16 (which is not relevant and involves some questionable language). It is interesting to note that the actors are arguing about what counts as arguing. Two quotes worth noting are:</w:t>
      </w:r>
    </w:p>
    <w:p w14:paraId="6D215BD0" w14:textId="77777777" w:rsidR="00746E0B" w:rsidRPr="00565254" w:rsidRDefault="00746E0B" w:rsidP="00746E0B">
      <w:pPr>
        <w:ind w:firstLine="720"/>
        <w:rPr>
          <w:sz w:val="22"/>
          <w:szCs w:val="22"/>
        </w:rPr>
      </w:pPr>
      <w:r w:rsidRPr="00565254">
        <w:rPr>
          <w:sz w:val="22"/>
          <w:szCs w:val="22"/>
        </w:rPr>
        <w:t>1:55 “This isn’t an argument  - it’s just contradiction!”</w:t>
      </w:r>
    </w:p>
    <w:p w14:paraId="33CC2842" w14:textId="77777777" w:rsidR="00746E0B" w:rsidRPr="00565254" w:rsidRDefault="00746E0B" w:rsidP="00746E0B">
      <w:pPr>
        <w:ind w:firstLine="720"/>
        <w:rPr>
          <w:sz w:val="22"/>
          <w:szCs w:val="22"/>
        </w:rPr>
      </w:pPr>
      <w:r w:rsidRPr="00565254">
        <w:rPr>
          <w:sz w:val="22"/>
          <w:szCs w:val="22"/>
        </w:rPr>
        <w:t>2:15 “An argument’s a collective series of statements to establish a proposition.”</w:t>
      </w:r>
    </w:p>
    <w:p w14:paraId="3A3142D2" w14:textId="77777777" w:rsidR="00746E0B" w:rsidRDefault="00746E0B" w:rsidP="00746E0B"/>
    <w:p w14:paraId="0EDD39C6" w14:textId="77777777" w:rsidR="00746E0B" w:rsidRDefault="00746E0B" w:rsidP="00746E0B">
      <w:r>
        <w:t xml:space="preserve">Olmstead, E. A., (2007). Proof for Everyone. </w:t>
      </w:r>
      <w:r>
        <w:rPr>
          <w:i/>
        </w:rPr>
        <w:t>The Mathematics Teacher, 100</w:t>
      </w:r>
      <w:r>
        <w:t xml:space="preserve">(6), 436–439. </w:t>
      </w:r>
    </w:p>
    <w:p w14:paraId="57FE1F58" w14:textId="77777777" w:rsidR="00746E0B" w:rsidRDefault="00746E0B" w:rsidP="00746E0B"/>
    <w:p w14:paraId="4B055892" w14:textId="77777777" w:rsidR="00746E0B" w:rsidRDefault="00746E0B" w:rsidP="00746E0B">
      <w:r>
        <w:t xml:space="preserve">Otten, S., Herbel-Eisenmann, B. A., &amp; Males, L. M. (2010). Proof in algebra: Reasoning </w:t>
      </w:r>
    </w:p>
    <w:p w14:paraId="2723BE92" w14:textId="77777777" w:rsidR="00746E0B" w:rsidRDefault="00746E0B" w:rsidP="00746E0B">
      <w:pPr>
        <w:ind w:left="720"/>
      </w:pPr>
      <w:r>
        <w:t xml:space="preserve">beyond examples. </w:t>
      </w:r>
      <w:r>
        <w:rPr>
          <w:i/>
        </w:rPr>
        <w:t>The Mathematics Teacher, 103</w:t>
      </w:r>
      <w:r>
        <w:t xml:space="preserve">(7), 514–518. Retrieved from </w:t>
      </w:r>
      <w:hyperlink r:id="rId8">
        <w:r>
          <w:rPr>
            <w:color w:val="0000FF"/>
            <w:u w:val="single"/>
          </w:rPr>
          <w:t>http://www.jstor.org/stable/20876681</w:t>
        </w:r>
      </w:hyperlink>
      <w:r>
        <w:t xml:space="preserve"> </w:t>
      </w:r>
    </w:p>
    <w:p w14:paraId="21529F3D" w14:textId="77777777" w:rsidR="00746E0B" w:rsidRDefault="00746E0B" w:rsidP="00746E0B"/>
    <w:p w14:paraId="79B3A379" w14:textId="77777777" w:rsidR="00746E0B" w:rsidRDefault="00746E0B" w:rsidP="00746E0B">
      <w:r>
        <w:t>Stylianides, A. J. (2007). Proof and Proving in School Mathematics</w:t>
      </w:r>
      <w:r>
        <w:rPr>
          <w:i/>
        </w:rPr>
        <w:t xml:space="preserve">. Journal for Research in </w:t>
      </w:r>
    </w:p>
    <w:p w14:paraId="7B93619F" w14:textId="77777777" w:rsidR="00746E0B" w:rsidRDefault="00746E0B" w:rsidP="00746E0B">
      <w:pPr>
        <w:ind w:left="720"/>
      </w:pPr>
      <w:r>
        <w:rPr>
          <w:i/>
        </w:rPr>
        <w:t>Mathematics Education, 38</w:t>
      </w:r>
      <w:r>
        <w:t xml:space="preserve">(3), 289–321. Retrieved from </w:t>
      </w:r>
      <w:hyperlink r:id="rId9">
        <w:r>
          <w:rPr>
            <w:color w:val="0000FF"/>
            <w:u w:val="single"/>
          </w:rPr>
          <w:t>http://www.jstor.org/stable/30034869</w:t>
        </w:r>
      </w:hyperlink>
      <w:r>
        <w:t xml:space="preserve"> </w:t>
      </w:r>
    </w:p>
    <w:p w14:paraId="60151CF3" w14:textId="77777777" w:rsidR="00746E0B" w:rsidRDefault="00746E0B" w:rsidP="00746E0B"/>
    <w:p w14:paraId="250490C9" w14:textId="77777777" w:rsidR="00746E0B" w:rsidRDefault="00746E0B" w:rsidP="00746E0B">
      <w:r>
        <w:rPr>
          <w:b/>
        </w:rPr>
        <w:t xml:space="preserve">Online video-based module: </w:t>
      </w:r>
      <w:r>
        <w:t>An online video-based module (in development as of 7/27/16) discusses many of the same ideas presented in this module. This online module is well suited for individuals to work through or for pairs. It could provide a way for someone to “catch up” with a group if they have missed a session. It could also be used as supplementary material for this module, or as a means to reinforce or refresh the ideas. &lt;&lt;</w:t>
      </w:r>
      <w:r>
        <w:rPr>
          <w:i/>
        </w:rPr>
        <w:t>Link to be inserted upon completion</w:t>
      </w:r>
      <w:r>
        <w:t>.&gt;&gt;</w:t>
      </w:r>
    </w:p>
    <w:p w14:paraId="3B33482F" w14:textId="77777777" w:rsidR="00746E0B" w:rsidRDefault="00746E0B" w:rsidP="00746E0B"/>
    <w:p w14:paraId="396512C2" w14:textId="77777777" w:rsidR="00746E0B" w:rsidRDefault="00746E0B" w:rsidP="00746E0B">
      <w:r>
        <w:rPr>
          <w:b/>
        </w:rPr>
        <w:t>Additional Resources to Support the Structure of Arguments, Particularly Warrants</w:t>
      </w:r>
    </w:p>
    <w:p w14:paraId="758D7497" w14:textId="77777777" w:rsidR="00746E0B" w:rsidRDefault="00746E0B" w:rsidP="00746E0B"/>
    <w:p w14:paraId="4EBEB612" w14:textId="77777777" w:rsidR="00746E0B" w:rsidRDefault="00746E0B" w:rsidP="00746E0B">
      <w:r>
        <w:t xml:space="preserve">If facilitators or participants want to dig in deeper with mathematical argumentation, or have additional opportunities to make sense of these ideas, they may find the following set of narrated slides useful. Please </w:t>
      </w:r>
      <w:r>
        <w:rPr>
          <w:i/>
        </w:rPr>
        <w:t xml:space="preserve">download </w:t>
      </w:r>
      <w:r>
        <w:t>and then use “Play from Start” under the SlideShow</w:t>
      </w:r>
      <w:bookmarkStart w:id="0" w:name="_GoBack"/>
      <w:bookmarkEnd w:id="0"/>
      <w:r>
        <w:t xml:space="preserve"> menu in order to hear the narration. The four narrations are in this folder </w:t>
      </w:r>
      <w:hyperlink r:id="rId10">
        <w:r>
          <w:rPr>
            <w:color w:val="0000FF"/>
            <w:u w:val="single"/>
          </w:rPr>
          <w:t>https://drive.google.com/folderview?id=0B4mQL9do5xayM3RGSUJBS1RjaDg&amp;usp=sharing</w:t>
        </w:r>
      </w:hyperlink>
      <w:r>
        <w:t xml:space="preserve"> and a link to each narration is provided here as well.</w:t>
      </w:r>
    </w:p>
    <w:p w14:paraId="055BBC11" w14:textId="77777777" w:rsidR="00746E0B" w:rsidRDefault="00746E0B" w:rsidP="00746E0B"/>
    <w:p w14:paraId="2B4A7E64" w14:textId="77777777" w:rsidR="00746E0B" w:rsidRDefault="00746E0B" w:rsidP="00746E0B">
      <w:pPr>
        <w:ind w:left="360" w:hanging="360"/>
      </w:pPr>
      <w:r>
        <w:t xml:space="preserve">1. </w:t>
      </w:r>
      <w:r w:rsidRPr="0090537B">
        <w:rPr>
          <w:b/>
        </w:rPr>
        <w:t>Argumentation Introduction</w:t>
      </w:r>
      <w:r>
        <w:t xml:space="preserve">: [2:05] This narration provides a basic overview of what a mathematical argument is. </w:t>
      </w:r>
    </w:p>
    <w:p w14:paraId="63DF8E3B" w14:textId="77777777" w:rsidR="00746E0B" w:rsidRDefault="00746E0B" w:rsidP="00746E0B">
      <w:pPr>
        <w:ind w:left="360" w:hanging="360"/>
      </w:pPr>
      <w:hyperlink r:id="rId11">
        <w:r>
          <w:rPr>
            <w:color w:val="0000FF"/>
            <w:u w:val="single"/>
          </w:rPr>
          <w:t>https://drive.google.com/open?id=0B4mQL9do5xayZnRtMUhhdWRXdlE</w:t>
        </w:r>
      </w:hyperlink>
    </w:p>
    <w:p w14:paraId="1260475A" w14:textId="77777777" w:rsidR="00746E0B" w:rsidRDefault="00746E0B" w:rsidP="00746E0B">
      <w:pPr>
        <w:ind w:left="360" w:hanging="360"/>
      </w:pPr>
    </w:p>
    <w:p w14:paraId="129DF9FA" w14:textId="77777777" w:rsidR="00746E0B" w:rsidRDefault="00746E0B" w:rsidP="00746E0B">
      <w:pPr>
        <w:ind w:left="360" w:hanging="360"/>
      </w:pPr>
      <w:r>
        <w:t xml:space="preserve">2. </w:t>
      </w:r>
      <w:r w:rsidRPr="0090537B">
        <w:rPr>
          <w:b/>
        </w:rPr>
        <w:t>Argumentation: Toulmin and Warrants</w:t>
      </w:r>
      <w:r>
        <w:t xml:space="preserve"> [8:05]</w:t>
      </w:r>
    </w:p>
    <w:p w14:paraId="518B9ABA" w14:textId="77777777" w:rsidR="00746E0B" w:rsidRDefault="00746E0B" w:rsidP="00746E0B">
      <w:pPr>
        <w:ind w:left="360"/>
      </w:pPr>
      <w:r>
        <w:t xml:space="preserve">This narration provides an introduction to Toulmin’s model and language for arguments: </w:t>
      </w:r>
      <w:r>
        <w:rPr>
          <w:i/>
        </w:rPr>
        <w:t>claim, evidence,</w:t>
      </w:r>
      <w:r>
        <w:t xml:space="preserve"> and </w:t>
      </w:r>
      <w:r>
        <w:rPr>
          <w:i/>
        </w:rPr>
        <w:t>warrants</w:t>
      </w:r>
      <w:r>
        <w:t xml:space="preserve">, which is then applied to three examples (Micah, an everyday example, Angel). Extra attention is given to the concept of </w:t>
      </w:r>
      <w:r>
        <w:rPr>
          <w:i/>
        </w:rPr>
        <w:t>warrants</w:t>
      </w:r>
      <w:r>
        <w:t xml:space="preserve">. </w:t>
      </w:r>
    </w:p>
    <w:p w14:paraId="73BBA02B" w14:textId="77777777" w:rsidR="00746E0B" w:rsidRDefault="00746E0B" w:rsidP="00746E0B">
      <w:hyperlink r:id="rId12">
        <w:r>
          <w:rPr>
            <w:color w:val="0000FF"/>
            <w:u w:val="single"/>
          </w:rPr>
          <w:t>https://drive.google.com/open?id=0B4mQL9do5xayQVV2OVNhTHVvcUE</w:t>
        </w:r>
      </w:hyperlink>
    </w:p>
    <w:p w14:paraId="7FFC8036" w14:textId="77777777" w:rsidR="00746E0B" w:rsidRDefault="00746E0B" w:rsidP="00746E0B"/>
    <w:p w14:paraId="14CF9BB8" w14:textId="77777777" w:rsidR="00746E0B" w:rsidRDefault="00746E0B" w:rsidP="00746E0B">
      <w:pPr>
        <w:ind w:left="360" w:hanging="360"/>
      </w:pPr>
      <w:r>
        <w:t xml:space="preserve">3. </w:t>
      </w:r>
      <w:r w:rsidRPr="0090537B">
        <w:rPr>
          <w:b/>
        </w:rPr>
        <w:t>Argumentation: Focus on Procedural</w:t>
      </w:r>
      <w:r>
        <w:t xml:space="preserve"> [13:05]</w:t>
      </w:r>
    </w:p>
    <w:p w14:paraId="7B959E4F" w14:textId="77777777" w:rsidR="00746E0B" w:rsidRDefault="00746E0B" w:rsidP="00746E0B">
      <w:pPr>
        <w:ind w:left="360"/>
      </w:pPr>
      <w:r>
        <w:t>This narration gives a closer look at how problems that seem to be more procedural or computational and involve only “showing your steps” are opportunities for argumentation. Sharing warrants/reasons can turn an explanation of steps into an argument.</w:t>
      </w:r>
    </w:p>
    <w:p w14:paraId="35E72CF1" w14:textId="77777777" w:rsidR="00746E0B" w:rsidRDefault="00746E0B" w:rsidP="00746E0B">
      <w:pPr>
        <w:ind w:left="360" w:hanging="360"/>
      </w:pPr>
      <w:r>
        <w:t xml:space="preserve"> </w:t>
      </w:r>
      <w:hyperlink r:id="rId13">
        <w:r>
          <w:rPr>
            <w:color w:val="0000FF"/>
            <w:u w:val="single"/>
          </w:rPr>
          <w:t>https://drive.google.com/open?id=0B4mQL9do5xayeTJYajdOZnZDQzg</w:t>
        </w:r>
      </w:hyperlink>
    </w:p>
    <w:p w14:paraId="00B3F74A" w14:textId="77777777" w:rsidR="00746E0B" w:rsidRDefault="00746E0B" w:rsidP="00746E0B">
      <w:pPr>
        <w:ind w:left="360" w:hanging="360"/>
      </w:pPr>
    </w:p>
    <w:p w14:paraId="13228E47" w14:textId="77777777" w:rsidR="00746E0B" w:rsidRDefault="00746E0B" w:rsidP="00746E0B">
      <w:pPr>
        <w:ind w:left="360" w:hanging="360"/>
      </w:pPr>
      <w:r>
        <w:t xml:space="preserve">4. </w:t>
      </w:r>
      <w:r w:rsidRPr="0090537B">
        <w:rPr>
          <w:b/>
        </w:rPr>
        <w:t>Argumentation – The Warrant is Missing!</w:t>
      </w:r>
      <w:r>
        <w:t xml:space="preserve"> [3:06]</w:t>
      </w:r>
    </w:p>
    <w:p w14:paraId="2FB8FCB5" w14:textId="77777777" w:rsidR="00746E0B" w:rsidRDefault="00746E0B" w:rsidP="00746E0B">
      <w:pPr>
        <w:ind w:left="360"/>
      </w:pPr>
      <w:r>
        <w:t>This narration uses every day examples to help clarify warrants.</w:t>
      </w:r>
    </w:p>
    <w:p w14:paraId="66C37299" w14:textId="77777777" w:rsidR="00746E0B" w:rsidRDefault="00746E0B" w:rsidP="00746E0B">
      <w:pPr>
        <w:ind w:left="360" w:hanging="360"/>
      </w:pPr>
      <w:hyperlink r:id="rId14">
        <w:r>
          <w:rPr>
            <w:color w:val="0000FF"/>
            <w:u w:val="single"/>
          </w:rPr>
          <w:t>https://drive.google.com/open?id=0B4mQL9do5xaycE85Mzd5cXY0V0k</w:t>
        </w:r>
      </w:hyperlink>
      <w:hyperlink r:id="rId15">
        <w:r>
          <w:rPr>
            <w:rStyle w:val="Hyperlink"/>
          </w:rPr>
          <w:t xml:space="preserve"> </w:t>
        </w:r>
      </w:hyperlink>
    </w:p>
    <w:p w14:paraId="73103AAC" w14:textId="77777777" w:rsidR="00820D40" w:rsidRDefault="00820D40"/>
    <w:sectPr w:rsidR="00820D40" w:rsidSect="00746E0B">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FE12D" w14:textId="77777777" w:rsidR="00045CEF" w:rsidRDefault="00045CEF" w:rsidP="00746E0B">
      <w:r>
        <w:separator/>
      </w:r>
    </w:p>
  </w:endnote>
  <w:endnote w:type="continuationSeparator" w:id="0">
    <w:p w14:paraId="03119046" w14:textId="77777777" w:rsidR="00045CEF" w:rsidRDefault="00045CEF" w:rsidP="00746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l Bayan Plain">
    <w:panose1 w:val="00000000000000000000"/>
    <w:charset w:val="B2"/>
    <w:family w:val="auto"/>
    <w:pitch w:val="variable"/>
    <w:sig w:usb0="00002001" w:usb1="00000000" w:usb2="00000008" w:usb3="00000000" w:csb0="0000004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CF2E4" w14:textId="20BF74CA" w:rsidR="00746E0B" w:rsidRPr="003E1EF0" w:rsidRDefault="00746E0B">
    <w:pPr>
      <w:pStyle w:val="Footer"/>
      <w:rPr>
        <w:i/>
        <w:sz w:val="22"/>
        <w:szCs w:val="22"/>
      </w:rPr>
    </w:pPr>
    <w:r w:rsidRPr="003E1EF0">
      <w:rPr>
        <w:i/>
        <w:sz w:val="22"/>
        <w:szCs w:val="22"/>
      </w:rPr>
      <w:t>Bridging Math Practices –</w:t>
    </w:r>
    <w:r w:rsidR="00964ABB" w:rsidRPr="003E1EF0">
      <w:rPr>
        <w:i/>
        <w:sz w:val="22"/>
        <w:szCs w:val="22"/>
      </w:rPr>
      <w:t>Module 1 -</w:t>
    </w:r>
    <w:r w:rsidRPr="003E1EF0">
      <w:rPr>
        <w:i/>
        <w:sz w:val="22"/>
        <w:szCs w:val="22"/>
      </w:rPr>
      <w:t xml:space="preserve"> Additional Resources</w:t>
    </w:r>
    <w:r w:rsidRPr="003E1EF0">
      <w:rPr>
        <w:i/>
        <w:sz w:val="22"/>
        <w:szCs w:val="22"/>
      </w:rPr>
      <w:tab/>
    </w:r>
    <w:r w:rsidRPr="003E1EF0">
      <w:rPr>
        <w:sz w:val="22"/>
        <w:szCs w:val="22"/>
      </w:rPr>
      <w:fldChar w:fldCharType="begin"/>
    </w:r>
    <w:r w:rsidRPr="003E1EF0">
      <w:rPr>
        <w:sz w:val="22"/>
        <w:szCs w:val="22"/>
      </w:rPr>
      <w:instrText xml:space="preserve"> PAGE  \* MERGEFORMAT </w:instrText>
    </w:r>
    <w:r w:rsidRPr="003E1EF0">
      <w:rPr>
        <w:sz w:val="22"/>
        <w:szCs w:val="22"/>
      </w:rPr>
      <w:fldChar w:fldCharType="separate"/>
    </w:r>
    <w:r w:rsidR="00045CEF">
      <w:rPr>
        <w:noProof/>
        <w:sz w:val="22"/>
        <w:szCs w:val="22"/>
      </w:rPr>
      <w:t>1</w:t>
    </w:r>
    <w:r w:rsidRPr="003E1EF0">
      <w:rPr>
        <w:sz w:val="22"/>
        <w:szCs w:val="22"/>
      </w:rPr>
      <w:fldChar w:fldCharType="end"/>
    </w:r>
    <w:r w:rsidRPr="003E1EF0">
      <w:rPr>
        <w:sz w:val="22"/>
        <w:szCs w:val="22"/>
      </w:rPr>
      <w:t xml:space="preserve"> of 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9559D" w14:textId="77777777" w:rsidR="00045CEF" w:rsidRDefault="00045CEF" w:rsidP="00746E0B">
      <w:r>
        <w:separator/>
      </w:r>
    </w:p>
  </w:footnote>
  <w:footnote w:type="continuationSeparator" w:id="0">
    <w:p w14:paraId="15BD941D" w14:textId="77777777" w:rsidR="00045CEF" w:rsidRDefault="00045CEF" w:rsidP="00746E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E0B"/>
    <w:rsid w:val="00045CEF"/>
    <w:rsid w:val="003E1EF0"/>
    <w:rsid w:val="004F2087"/>
    <w:rsid w:val="00746E0B"/>
    <w:rsid w:val="00820D40"/>
    <w:rsid w:val="00964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8049A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746E0B"/>
    <w:rPr>
      <w:rFonts w:ascii="Cambria" w:eastAsia="Cambria" w:hAnsi="Cambria" w:cs="Cambria"/>
      <w:color w:val="000000"/>
    </w:rPr>
  </w:style>
  <w:style w:type="paragraph" w:styleId="Heading1">
    <w:name w:val="heading 1"/>
    <w:basedOn w:val="Normal"/>
    <w:next w:val="Normal"/>
    <w:link w:val="Heading1Char"/>
    <w:rsid w:val="00746E0B"/>
    <w:pPr>
      <w:keepNext/>
      <w:keepLines/>
      <w:spacing w:before="480"/>
      <w:outlineLvl w:val="0"/>
    </w:pPr>
    <w:rPr>
      <w:rFonts w:ascii="Calibri" w:eastAsia="Calibri" w:hAnsi="Calibri" w:cs="Calibri"/>
      <w:b/>
      <w:color w:val="335B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6E0B"/>
    <w:rPr>
      <w:rFonts w:ascii="Calibri" w:eastAsia="Calibri" w:hAnsi="Calibri" w:cs="Calibri"/>
      <w:b/>
      <w:color w:val="335B8A"/>
      <w:sz w:val="32"/>
      <w:szCs w:val="32"/>
    </w:rPr>
  </w:style>
  <w:style w:type="character" w:styleId="Hyperlink">
    <w:name w:val="Hyperlink"/>
    <w:basedOn w:val="DefaultParagraphFont"/>
    <w:uiPriority w:val="99"/>
    <w:unhideWhenUsed/>
    <w:rsid w:val="00746E0B"/>
    <w:rPr>
      <w:color w:val="0563C1" w:themeColor="hyperlink"/>
      <w:u w:val="single"/>
    </w:rPr>
  </w:style>
  <w:style w:type="paragraph" w:styleId="Header">
    <w:name w:val="header"/>
    <w:basedOn w:val="Normal"/>
    <w:link w:val="HeaderChar"/>
    <w:uiPriority w:val="99"/>
    <w:unhideWhenUsed/>
    <w:rsid w:val="00746E0B"/>
    <w:pPr>
      <w:tabs>
        <w:tab w:val="center" w:pos="4680"/>
        <w:tab w:val="right" w:pos="9360"/>
      </w:tabs>
    </w:pPr>
  </w:style>
  <w:style w:type="character" w:customStyle="1" w:styleId="HeaderChar">
    <w:name w:val="Header Char"/>
    <w:basedOn w:val="DefaultParagraphFont"/>
    <w:link w:val="Header"/>
    <w:uiPriority w:val="99"/>
    <w:rsid w:val="00746E0B"/>
    <w:rPr>
      <w:rFonts w:ascii="Cambria" w:eastAsia="Cambria" w:hAnsi="Cambria" w:cs="Cambria"/>
      <w:color w:val="000000"/>
    </w:rPr>
  </w:style>
  <w:style w:type="paragraph" w:styleId="Footer">
    <w:name w:val="footer"/>
    <w:basedOn w:val="Normal"/>
    <w:link w:val="FooterChar"/>
    <w:uiPriority w:val="99"/>
    <w:unhideWhenUsed/>
    <w:rsid w:val="00746E0B"/>
    <w:pPr>
      <w:tabs>
        <w:tab w:val="center" w:pos="4680"/>
        <w:tab w:val="right" w:pos="9360"/>
      </w:tabs>
    </w:pPr>
  </w:style>
  <w:style w:type="character" w:customStyle="1" w:styleId="FooterChar">
    <w:name w:val="Footer Char"/>
    <w:basedOn w:val="DefaultParagraphFont"/>
    <w:link w:val="Footer"/>
    <w:uiPriority w:val="99"/>
    <w:rsid w:val="00746E0B"/>
    <w:rPr>
      <w:rFonts w:ascii="Cambria" w:eastAsia="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drive.google.com/open?id=0B4mQL9do5xayZnRtMUhhdWRXdlE" TargetMode="External"/><Relationship Id="rId12" Type="http://schemas.openxmlformats.org/officeDocument/2006/relationships/hyperlink" Target="https://drive.google.com/open?id=0B4mQL9do5xayQVV2OVNhTHVvcUE" TargetMode="External"/><Relationship Id="rId13" Type="http://schemas.openxmlformats.org/officeDocument/2006/relationships/hyperlink" Target="https://drive.google.com/open?id=0B4mQL9do5xayeTJYajdOZnZDQzg" TargetMode="External"/><Relationship Id="rId14" Type="http://schemas.openxmlformats.org/officeDocument/2006/relationships/hyperlink" Target="https://drive.google.com/open?id=0B4mQL9do5xaycE85Mzd5cXY0V0k" TargetMode="External"/><Relationship Id="rId15" Type="http://schemas.openxmlformats.org/officeDocument/2006/relationships/hyperlink" Target="https://drive.google.com/open?id=0B4mQL9do5xaycE85Mzd5cXY0V0k"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140.122.140.1/~icmi19/files/Volume_2.pdf" TargetMode="External"/><Relationship Id="rId7" Type="http://schemas.openxmlformats.org/officeDocument/2006/relationships/hyperlink" Target="https://www.youtube.com/watch?v=kQFKtI6gn9Y&amp;feature=kp" TargetMode="External"/><Relationship Id="rId8" Type="http://schemas.openxmlformats.org/officeDocument/2006/relationships/hyperlink" Target="http://www.jstor.org/stable/20876681" TargetMode="External"/><Relationship Id="rId9" Type="http://schemas.openxmlformats.org/officeDocument/2006/relationships/hyperlink" Target="http://www.jstor.org/stable/30034869" TargetMode="External"/><Relationship Id="rId10" Type="http://schemas.openxmlformats.org/officeDocument/2006/relationships/hyperlink" Target="https://drive.google.com/folderview?id=0B4mQL9do5xayM3RGSUJBS1RjaDg&amp;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686</Words>
  <Characters>3911</Characters>
  <Application>Microsoft Macintosh Word</Application>
  <DocSecurity>0</DocSecurity>
  <Lines>32</Lines>
  <Paragraphs>9</Paragraphs>
  <ScaleCrop>false</ScaleCrop>
  <LinksUpToDate>false</LinksUpToDate>
  <CharactersWithSpaces>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Staples</dc:creator>
  <cp:keywords/>
  <dc:description/>
  <cp:lastModifiedBy>Megan Staples</cp:lastModifiedBy>
  <cp:revision>3</cp:revision>
  <dcterms:created xsi:type="dcterms:W3CDTF">2016-08-21T11:50:00Z</dcterms:created>
  <dcterms:modified xsi:type="dcterms:W3CDTF">2016-08-21T11:54:00Z</dcterms:modified>
</cp:coreProperties>
</file>