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82536" w14:textId="77777777" w:rsidR="00FA13E8" w:rsidRDefault="005A0C9C" w:rsidP="005A0C9C">
      <w:pPr>
        <w:shd w:val="clear" w:color="auto" w:fill="666666"/>
        <w:tabs>
          <w:tab w:val="center" w:pos="4680"/>
        </w:tabs>
        <w:jc w:val="center"/>
        <w:rPr>
          <w:b/>
          <w:color w:val="FFFFFF" w:themeColor="background1"/>
          <w:sz w:val="36"/>
          <w:szCs w:val="36"/>
        </w:rPr>
      </w:pPr>
      <w:bookmarkStart w:id="0" w:name="_GoBack"/>
      <w:bookmarkEnd w:id="0"/>
      <w:r>
        <w:rPr>
          <w:b/>
          <w:color w:val="FFFFFF" w:themeColor="background1"/>
          <w:sz w:val="36"/>
          <w:szCs w:val="36"/>
        </w:rPr>
        <w:t>Argumentation</w:t>
      </w:r>
    </w:p>
    <w:p w14:paraId="71185198" w14:textId="77DD0F7B" w:rsidR="005A0C9C" w:rsidRDefault="00D06BD4" w:rsidP="005A0C9C">
      <w:pPr>
        <w:shd w:val="clear" w:color="auto" w:fill="666666"/>
        <w:tabs>
          <w:tab w:val="center" w:pos="4680"/>
        </w:tabs>
        <w:jc w:val="center"/>
      </w:pPr>
      <w:r>
        <w:rPr>
          <w:b/>
          <w:color w:val="FFFFFF" w:themeColor="background1"/>
          <w:sz w:val="36"/>
          <w:szCs w:val="36"/>
        </w:rPr>
        <w:t>Take-</w:t>
      </w:r>
      <w:proofErr w:type="spellStart"/>
      <w:r>
        <w:rPr>
          <w:b/>
          <w:color w:val="FFFFFF" w:themeColor="background1"/>
          <w:sz w:val="36"/>
          <w:szCs w:val="36"/>
        </w:rPr>
        <w:t>Aways</w:t>
      </w:r>
      <w:proofErr w:type="spellEnd"/>
    </w:p>
    <w:p w14:paraId="18920F86" w14:textId="72B92987" w:rsidR="0059790E" w:rsidRDefault="00323073" w:rsidP="0059790E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481097B" wp14:editId="447B04BF">
            <wp:simplePos x="0" y="0"/>
            <wp:positionH relativeFrom="margin">
              <wp:posOffset>4914900</wp:posOffset>
            </wp:positionH>
            <wp:positionV relativeFrom="margin">
              <wp:posOffset>685800</wp:posOffset>
            </wp:positionV>
            <wp:extent cx="941070" cy="753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22BEC" w14:textId="2600408D" w:rsidR="00204E5D" w:rsidRPr="0096569F" w:rsidRDefault="00204E5D" w:rsidP="00204E5D">
      <w:pPr>
        <w:rPr>
          <w:rFonts w:ascii="Corbel" w:hAnsi="Corbel" w:cs="Big Caslon"/>
          <w:i/>
          <w:sz w:val="28"/>
          <w:szCs w:val="28"/>
        </w:rPr>
      </w:pPr>
      <w:r w:rsidRPr="0096569F">
        <w:rPr>
          <w:rFonts w:ascii="Corbel" w:hAnsi="Corbel" w:cs="Big Caslon"/>
          <w:sz w:val="28"/>
          <w:szCs w:val="28"/>
        </w:rPr>
        <w:t xml:space="preserve">Take-away 1! </w:t>
      </w:r>
      <w:r w:rsidRPr="0096569F">
        <w:rPr>
          <w:rFonts w:ascii="Corbel" w:hAnsi="Corbel" w:cs="Big Caslon"/>
          <w:i/>
          <w:sz w:val="28"/>
          <w:szCs w:val="28"/>
        </w:rPr>
        <w:t>What is an argument?</w:t>
      </w:r>
    </w:p>
    <w:p w14:paraId="31FAA770" w14:textId="13C57A45" w:rsidR="00500C89" w:rsidRPr="0096569F" w:rsidRDefault="00500C89" w:rsidP="0096569F">
      <w:pPr>
        <w:ind w:left="720"/>
        <w:rPr>
          <w:rFonts w:ascii="Corbel" w:hAnsi="Corbel" w:cs="Big Caslon"/>
          <w:i/>
          <w:sz w:val="28"/>
          <w:szCs w:val="28"/>
        </w:rPr>
      </w:pPr>
      <w:r w:rsidRPr="0096569F">
        <w:rPr>
          <w:rFonts w:ascii="Corbel" w:hAnsi="Corbel" w:cs="Big Caslon"/>
          <w:i/>
          <w:sz w:val="28"/>
          <w:szCs w:val="28"/>
        </w:rPr>
        <w:t>A sequence of statements and reasons given with the aim of demonstrating that a claim is true or false</w:t>
      </w:r>
    </w:p>
    <w:p w14:paraId="1184F8A6" w14:textId="77777777" w:rsidR="00204E5D" w:rsidRPr="0096569F" w:rsidRDefault="00204E5D" w:rsidP="0059790E">
      <w:pPr>
        <w:rPr>
          <w:rFonts w:ascii="Corbel" w:hAnsi="Corbel" w:cs="Big Caslon"/>
          <w:sz w:val="28"/>
          <w:szCs w:val="28"/>
        </w:rPr>
      </w:pPr>
    </w:p>
    <w:p w14:paraId="20B9B021" w14:textId="1E954119" w:rsidR="00204E5D" w:rsidRPr="0096569F" w:rsidRDefault="00204E5D" w:rsidP="001172A3">
      <w:pPr>
        <w:ind w:left="720" w:hanging="720"/>
        <w:rPr>
          <w:rFonts w:ascii="Corbel" w:hAnsi="Corbel" w:cs="Big Caslon"/>
          <w:sz w:val="28"/>
          <w:szCs w:val="28"/>
        </w:rPr>
      </w:pPr>
      <w:r w:rsidRPr="0096569F">
        <w:rPr>
          <w:rFonts w:ascii="Corbel" w:hAnsi="Corbel" w:cs="Big Caslon"/>
          <w:sz w:val="28"/>
          <w:szCs w:val="28"/>
        </w:rPr>
        <w:t xml:space="preserve">Take-away 2! </w:t>
      </w:r>
      <w:r w:rsidRPr="0096569F">
        <w:rPr>
          <w:rFonts w:ascii="Corbel" w:hAnsi="Corbel" w:cs="Big Caslon"/>
          <w:i/>
          <w:iCs/>
          <w:sz w:val="28"/>
          <w:szCs w:val="28"/>
        </w:rPr>
        <w:t>There’s a difference between an explanation</w:t>
      </w:r>
      <w:r w:rsidR="001172A3">
        <w:rPr>
          <w:rFonts w:ascii="Corbel" w:hAnsi="Corbel" w:cs="Big Caslon"/>
          <w:i/>
          <w:iCs/>
          <w:sz w:val="28"/>
          <w:szCs w:val="28"/>
        </w:rPr>
        <w:t xml:space="preserve"> of what you did</w:t>
      </w:r>
      <w:r w:rsidRPr="0096569F">
        <w:rPr>
          <w:rFonts w:ascii="Corbel" w:hAnsi="Corbel" w:cs="Big Caslon"/>
          <w:i/>
          <w:iCs/>
          <w:sz w:val="28"/>
          <w:szCs w:val="28"/>
        </w:rPr>
        <w:t xml:space="preserve"> and an argument.</w:t>
      </w:r>
    </w:p>
    <w:p w14:paraId="3543BDB0" w14:textId="49BDEEC3" w:rsidR="00204E5D" w:rsidRPr="0096569F" w:rsidRDefault="00204E5D" w:rsidP="0059790E">
      <w:pPr>
        <w:rPr>
          <w:rFonts w:ascii="Corbel" w:hAnsi="Corbel" w:cs="Big Caslon"/>
          <w:sz w:val="28"/>
          <w:szCs w:val="28"/>
        </w:rPr>
      </w:pPr>
    </w:p>
    <w:p w14:paraId="164F39CA" w14:textId="6F96ADD7" w:rsidR="00204E5D" w:rsidRPr="0096569F" w:rsidRDefault="00204E5D" w:rsidP="00204E5D">
      <w:pPr>
        <w:rPr>
          <w:rFonts w:ascii="Corbel" w:hAnsi="Corbel" w:cs="Big Caslon"/>
          <w:sz w:val="28"/>
          <w:szCs w:val="28"/>
        </w:rPr>
      </w:pPr>
      <w:r w:rsidRPr="0096569F">
        <w:rPr>
          <w:rFonts w:ascii="Corbel" w:hAnsi="Corbel" w:cs="Big Caslon"/>
          <w:sz w:val="28"/>
          <w:szCs w:val="28"/>
        </w:rPr>
        <w:t xml:space="preserve">Take-away 3! </w:t>
      </w:r>
      <w:r w:rsidRPr="0096569F">
        <w:rPr>
          <w:rFonts w:ascii="Corbel" w:hAnsi="Corbel" w:cs="Big Caslon"/>
          <w:i/>
          <w:iCs/>
          <w:sz w:val="28"/>
          <w:szCs w:val="28"/>
        </w:rPr>
        <w:t>Argumentation involves claims, warrants and evidence.</w:t>
      </w:r>
    </w:p>
    <w:p w14:paraId="28AF5D2C" w14:textId="77777777" w:rsidR="00204E5D" w:rsidRPr="0096569F" w:rsidRDefault="00204E5D" w:rsidP="0059790E">
      <w:pPr>
        <w:rPr>
          <w:rFonts w:ascii="Corbel" w:hAnsi="Corbel" w:cs="Big Caslon"/>
          <w:sz w:val="28"/>
          <w:szCs w:val="28"/>
        </w:rPr>
      </w:pPr>
    </w:p>
    <w:p w14:paraId="5531A5CD" w14:textId="77777777" w:rsidR="00F073BD" w:rsidRPr="0096569F" w:rsidRDefault="00F073BD" w:rsidP="00F073BD">
      <w:pPr>
        <w:rPr>
          <w:rFonts w:ascii="Corbel" w:hAnsi="Corbel" w:cs="Big Caslon"/>
          <w:sz w:val="28"/>
          <w:szCs w:val="28"/>
        </w:rPr>
      </w:pPr>
      <w:r w:rsidRPr="0096569F">
        <w:rPr>
          <w:rFonts w:ascii="Corbel" w:hAnsi="Corbel" w:cs="Big Caslon"/>
          <w:sz w:val="28"/>
          <w:szCs w:val="28"/>
        </w:rPr>
        <w:t xml:space="preserve">Take-Away 4! </w:t>
      </w:r>
      <w:r w:rsidRPr="0096569F">
        <w:rPr>
          <w:rFonts w:ascii="Corbel" w:hAnsi="Corbel" w:cs="Big Caslon"/>
          <w:i/>
          <w:iCs/>
          <w:sz w:val="28"/>
          <w:szCs w:val="28"/>
        </w:rPr>
        <w:t xml:space="preserve">Not all arguments are valid (viable). </w:t>
      </w:r>
    </w:p>
    <w:p w14:paraId="5B6124DB" w14:textId="77777777" w:rsidR="00F073BD" w:rsidRPr="0096569F" w:rsidRDefault="00F073BD" w:rsidP="0059790E">
      <w:pPr>
        <w:rPr>
          <w:rFonts w:ascii="Corbel" w:hAnsi="Corbel" w:cs="Big Caslon"/>
          <w:sz w:val="28"/>
          <w:szCs w:val="28"/>
        </w:rPr>
      </w:pPr>
    </w:p>
    <w:p w14:paraId="17923933" w14:textId="48881C6A" w:rsidR="002C67DD" w:rsidRPr="0096569F" w:rsidRDefault="0096569F" w:rsidP="002C67DD">
      <w:pPr>
        <w:rPr>
          <w:rFonts w:ascii="Corbel" w:hAnsi="Corbel" w:cs="Big Caslon"/>
          <w:sz w:val="28"/>
          <w:szCs w:val="28"/>
        </w:rPr>
      </w:pPr>
      <w:r w:rsidRPr="0096569F">
        <w:rPr>
          <w:rFonts w:ascii="Corbel" w:hAnsi="Corbel" w:cs="Big Caslon"/>
          <w:sz w:val="28"/>
          <w:szCs w:val="28"/>
        </w:rPr>
        <w:t xml:space="preserve">Take-away 5! </w:t>
      </w:r>
      <w:r w:rsidRPr="0096569F">
        <w:rPr>
          <w:rFonts w:ascii="Corbel" w:hAnsi="Corbel" w:cs="Big Caslon"/>
          <w:i/>
          <w:sz w:val="28"/>
          <w:szCs w:val="28"/>
        </w:rPr>
        <w:t>Community matters!</w:t>
      </w:r>
      <w:r w:rsidR="002C67DD" w:rsidRPr="0096569F">
        <w:rPr>
          <w:rFonts w:ascii="Corbel" w:hAnsi="Corbel" w:cs="Big Caslon"/>
          <w:sz w:val="28"/>
          <w:szCs w:val="28"/>
        </w:rPr>
        <w:t xml:space="preserve"> </w:t>
      </w:r>
    </w:p>
    <w:p w14:paraId="74420713" w14:textId="5DB7F36B" w:rsidR="002C67DD" w:rsidRPr="0096569F" w:rsidRDefault="002C67DD" w:rsidP="0096569F">
      <w:pPr>
        <w:ind w:left="720"/>
        <w:rPr>
          <w:rFonts w:ascii="Corbel" w:hAnsi="Corbel" w:cs="Big Caslon"/>
          <w:i/>
          <w:sz w:val="28"/>
          <w:szCs w:val="28"/>
        </w:rPr>
      </w:pPr>
      <w:r w:rsidRPr="0096569F">
        <w:rPr>
          <w:rFonts w:ascii="Corbel" w:hAnsi="Corbel" w:cs="Big Caslon"/>
          <w:i/>
          <w:sz w:val="28"/>
          <w:szCs w:val="28"/>
        </w:rPr>
        <w:t>What “counts” as an acceptable (complete) argument varies by grade (age-appropriate) and by what is taken-as-shared in a class (established already as true)</w:t>
      </w:r>
      <w:proofErr w:type="gramStart"/>
      <w:r w:rsidRPr="0096569F">
        <w:rPr>
          <w:rFonts w:ascii="Corbel" w:hAnsi="Corbel" w:cs="Big Caslon"/>
          <w:i/>
          <w:sz w:val="28"/>
          <w:szCs w:val="28"/>
        </w:rPr>
        <w:t>.</w:t>
      </w:r>
      <w:proofErr w:type="gramEnd"/>
      <w:r w:rsidRPr="0096569F">
        <w:rPr>
          <w:rFonts w:ascii="Corbel" w:hAnsi="Corbel" w:cs="Big Caslon"/>
          <w:i/>
          <w:sz w:val="28"/>
          <w:szCs w:val="28"/>
        </w:rPr>
        <w:t xml:space="preserve"> Regardless of this variation, it should be mathematically sound.</w:t>
      </w:r>
    </w:p>
    <w:p w14:paraId="69CCB907" w14:textId="3AD1E605" w:rsidR="00926A1F" w:rsidRDefault="00323073">
      <w:pPr>
        <w:rPr>
          <w:rFonts w:ascii="Corbel" w:hAnsi="Corbel" w:cs="Big Caslon"/>
          <w:sz w:val="28"/>
          <w:szCs w:val="28"/>
        </w:rPr>
      </w:pPr>
      <w:r>
        <w:rPr>
          <w:rFonts w:ascii="Corbel" w:hAnsi="Corbel" w:cs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C49E9" wp14:editId="21721F0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50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94DD9AE" w14:textId="4E8AB86C" w:rsidR="00500C89" w:rsidRPr="00323073" w:rsidRDefault="00500C89" w:rsidP="0059790E">
      <w:pPr>
        <w:rPr>
          <w:rFonts w:ascii="Corbel" w:hAnsi="Corbel" w:cs="Big Caslon"/>
          <w:sz w:val="28"/>
          <w:szCs w:val="28"/>
        </w:rPr>
      </w:pPr>
      <w:r>
        <w:rPr>
          <w:rFonts w:ascii="Marker Felt" w:hAnsi="Marker Felt" w:cs="Big Caslon"/>
          <w:sz w:val="26"/>
          <w:szCs w:val="26"/>
        </w:rPr>
        <w:t>Some</w:t>
      </w:r>
      <w:r w:rsidR="00926A1F" w:rsidRPr="001172A3">
        <w:rPr>
          <w:rFonts w:ascii="Marker Felt" w:hAnsi="Marker Felt" w:cs="Big Caslon"/>
          <w:sz w:val="26"/>
          <w:szCs w:val="26"/>
        </w:rPr>
        <w:t xml:space="preserve"> </w:t>
      </w:r>
      <w:r w:rsidR="00804FD6">
        <w:rPr>
          <w:rFonts w:ascii="Marker Felt" w:hAnsi="Marker Felt" w:cs="Big Caslon"/>
          <w:sz w:val="26"/>
          <w:szCs w:val="26"/>
        </w:rPr>
        <w:t xml:space="preserve">Resources </w:t>
      </w:r>
    </w:p>
    <w:p w14:paraId="710DB870" w14:textId="77777777" w:rsidR="00B440AE" w:rsidRDefault="00B440AE" w:rsidP="00500C89">
      <w:pPr>
        <w:rPr>
          <w:rFonts w:ascii="Marker Felt" w:hAnsi="Marker Felt" w:cs="Big Caslon"/>
          <w:sz w:val="26"/>
          <w:szCs w:val="26"/>
        </w:rPr>
      </w:pPr>
    </w:p>
    <w:p w14:paraId="159AD08E" w14:textId="6F3F8FDB" w:rsidR="00B440AE" w:rsidRPr="00B440AE" w:rsidRDefault="00B440AE" w:rsidP="00500C89">
      <w:pPr>
        <w:rPr>
          <w:rFonts w:asciiTheme="majorHAnsi" w:hAnsiTheme="majorHAnsi"/>
          <w:sz w:val="22"/>
          <w:szCs w:val="22"/>
        </w:rPr>
      </w:pPr>
      <w:r>
        <w:rPr>
          <w:rFonts w:ascii="Marker Felt" w:hAnsi="Marker Felt" w:cs="Big Caslon"/>
          <w:sz w:val="26"/>
          <w:szCs w:val="26"/>
        </w:rPr>
        <w:t>Websites/Videos</w:t>
      </w:r>
    </w:p>
    <w:p w14:paraId="175A1C91" w14:textId="53DE95A2" w:rsidR="00500C89" w:rsidRPr="002133A1" w:rsidRDefault="00500C89" w:rsidP="00500C89">
      <w:pPr>
        <w:rPr>
          <w:rFonts w:asciiTheme="majorHAnsi" w:hAnsiTheme="majorHAnsi"/>
          <w:sz w:val="22"/>
          <w:szCs w:val="22"/>
        </w:rPr>
      </w:pPr>
      <w:r w:rsidRPr="002133A1">
        <w:rPr>
          <w:rFonts w:asciiTheme="majorHAnsi" w:hAnsiTheme="majorHAnsi"/>
          <w:sz w:val="22"/>
          <w:szCs w:val="22"/>
        </w:rPr>
        <w:t xml:space="preserve">NCTM – Digital Library of Practice Prototype – </w:t>
      </w:r>
      <w:proofErr w:type="spellStart"/>
      <w:r w:rsidRPr="002133A1">
        <w:rPr>
          <w:rFonts w:asciiTheme="majorHAnsi" w:hAnsiTheme="majorHAnsi"/>
          <w:sz w:val="22"/>
          <w:szCs w:val="22"/>
        </w:rPr>
        <w:t>Ms</w:t>
      </w:r>
      <w:proofErr w:type="spellEnd"/>
      <w:r w:rsidRPr="002133A1">
        <w:rPr>
          <w:rFonts w:asciiTheme="majorHAnsi" w:hAnsiTheme="majorHAnsi"/>
          <w:sz w:val="22"/>
          <w:szCs w:val="22"/>
        </w:rPr>
        <w:t xml:space="preserve"> Hauser &amp; the Hexagon Task: Constructing, Critiquing &amp; Revising Arguments: </w:t>
      </w:r>
      <w:hyperlink r:id="rId9" w:history="1">
        <w:r w:rsidRPr="002133A1">
          <w:rPr>
            <w:rStyle w:val="Hyperlink"/>
            <w:rFonts w:asciiTheme="majorHAnsi" w:hAnsiTheme="majorHAnsi"/>
            <w:sz w:val="22"/>
            <w:szCs w:val="22"/>
          </w:rPr>
          <w:t>http://www.nctm.org/profdev/library/default.aspx?id=34509</w:t>
        </w:r>
      </w:hyperlink>
    </w:p>
    <w:p w14:paraId="3669A397" w14:textId="77777777" w:rsidR="00B440AE" w:rsidRPr="002133A1" w:rsidRDefault="00B440AE" w:rsidP="001F5235">
      <w:pPr>
        <w:rPr>
          <w:rFonts w:asciiTheme="majorHAnsi" w:hAnsiTheme="majorHAnsi"/>
          <w:sz w:val="22"/>
          <w:szCs w:val="22"/>
        </w:rPr>
      </w:pPr>
    </w:p>
    <w:p w14:paraId="73273220" w14:textId="43479815" w:rsidR="001F5235" w:rsidRPr="002133A1" w:rsidRDefault="001F5235" w:rsidP="001F5235">
      <w:pPr>
        <w:rPr>
          <w:rFonts w:asciiTheme="majorHAnsi" w:hAnsiTheme="majorHAnsi"/>
          <w:sz w:val="22"/>
          <w:szCs w:val="22"/>
        </w:rPr>
      </w:pPr>
      <w:r w:rsidRPr="002133A1">
        <w:rPr>
          <w:rFonts w:asciiTheme="majorHAnsi" w:hAnsiTheme="majorHAnsi"/>
          <w:sz w:val="22"/>
          <w:szCs w:val="22"/>
        </w:rPr>
        <w:t>Read Tennessee: “Tennessee Early Grades Math Toolkit</w:t>
      </w:r>
      <w:r w:rsidR="00B440AE" w:rsidRPr="002133A1">
        <w:rPr>
          <w:rFonts w:asciiTheme="majorHAnsi" w:hAnsiTheme="majorHAnsi"/>
          <w:sz w:val="22"/>
          <w:szCs w:val="22"/>
        </w:rPr>
        <w:t>.</w:t>
      </w:r>
      <w:r w:rsidRPr="002133A1">
        <w:rPr>
          <w:rFonts w:asciiTheme="majorHAnsi" w:hAnsiTheme="majorHAnsi"/>
          <w:sz w:val="22"/>
          <w:szCs w:val="22"/>
        </w:rPr>
        <w:t>”</w:t>
      </w:r>
      <w:r w:rsidR="00B440AE" w:rsidRPr="002133A1">
        <w:rPr>
          <w:rFonts w:asciiTheme="majorHAnsi" w:hAnsiTheme="majorHAnsi"/>
          <w:sz w:val="22"/>
          <w:szCs w:val="22"/>
        </w:rPr>
        <w:t xml:space="preserve"> </w:t>
      </w:r>
      <w:r w:rsidRPr="002133A1">
        <w:rPr>
          <w:rFonts w:asciiTheme="majorHAnsi" w:hAnsiTheme="majorHAnsi"/>
          <w:sz w:val="22"/>
          <w:szCs w:val="22"/>
        </w:rPr>
        <w:t xml:space="preserve">Main link (for all MPs): </w:t>
      </w:r>
      <w:hyperlink r:id="rId10" w:history="1">
        <w:r w:rsidRPr="002133A1">
          <w:rPr>
            <w:rStyle w:val="Hyperlink"/>
            <w:rFonts w:asciiTheme="majorHAnsi" w:hAnsiTheme="majorHAnsi"/>
            <w:sz w:val="22"/>
            <w:szCs w:val="22"/>
          </w:rPr>
          <w:t>http://www.readtennessee.org/math/teachers/teachers_mathematics_toolkit/mathematical_practices.aspx</w:t>
        </w:r>
      </w:hyperlink>
      <w:r w:rsidRPr="002133A1">
        <w:rPr>
          <w:rFonts w:asciiTheme="majorHAnsi" w:hAnsiTheme="majorHAnsi"/>
          <w:sz w:val="22"/>
          <w:szCs w:val="22"/>
        </w:rPr>
        <w:t xml:space="preserve"> </w:t>
      </w:r>
    </w:p>
    <w:p w14:paraId="41BAD981" w14:textId="77777777" w:rsidR="001F5235" w:rsidRPr="002133A1" w:rsidRDefault="001F5235" w:rsidP="001F5235">
      <w:pPr>
        <w:rPr>
          <w:rFonts w:asciiTheme="majorHAnsi" w:hAnsiTheme="majorHAnsi"/>
          <w:sz w:val="22"/>
          <w:szCs w:val="22"/>
        </w:rPr>
      </w:pPr>
      <w:r w:rsidRPr="002133A1">
        <w:rPr>
          <w:rFonts w:asciiTheme="majorHAnsi" w:hAnsiTheme="majorHAnsi"/>
          <w:sz w:val="22"/>
          <w:szCs w:val="22"/>
        </w:rPr>
        <w:t>Link for MP3</w:t>
      </w:r>
    </w:p>
    <w:p w14:paraId="383708A6" w14:textId="77777777" w:rsidR="001F5235" w:rsidRPr="002133A1" w:rsidRDefault="00C01540" w:rsidP="001F5235">
      <w:pPr>
        <w:rPr>
          <w:rFonts w:asciiTheme="majorHAnsi" w:hAnsiTheme="majorHAnsi"/>
          <w:sz w:val="22"/>
          <w:szCs w:val="22"/>
        </w:rPr>
      </w:pPr>
      <w:hyperlink r:id="rId11" w:history="1">
        <w:r w:rsidR="001F5235" w:rsidRPr="002133A1">
          <w:rPr>
            <w:rStyle w:val="Hyperlink"/>
            <w:rFonts w:asciiTheme="majorHAnsi" w:hAnsiTheme="majorHAnsi"/>
            <w:sz w:val="22"/>
            <w:szCs w:val="22"/>
          </w:rPr>
          <w:t>http://www.readtennessee.org/math/teachers/teachers_mathematics_toolkit/mathematical_practices/construct_viable_arguments_and_critique_the_reasoning_of_others/cv_watch.aspx</w:t>
        </w:r>
      </w:hyperlink>
      <w:r w:rsidR="001F5235" w:rsidRPr="002133A1">
        <w:rPr>
          <w:rFonts w:asciiTheme="majorHAnsi" w:hAnsiTheme="majorHAnsi"/>
          <w:sz w:val="22"/>
          <w:szCs w:val="22"/>
        </w:rPr>
        <w:t xml:space="preserve"> </w:t>
      </w:r>
    </w:p>
    <w:p w14:paraId="0B47DBA1" w14:textId="77777777" w:rsidR="00694245" w:rsidRPr="002133A1" w:rsidRDefault="00694245" w:rsidP="00694245">
      <w:pPr>
        <w:rPr>
          <w:rFonts w:asciiTheme="majorHAnsi" w:hAnsiTheme="majorHAnsi" w:cs="Arial"/>
          <w:color w:val="2A2C28"/>
          <w:sz w:val="22"/>
          <w:szCs w:val="22"/>
        </w:rPr>
      </w:pPr>
    </w:p>
    <w:p w14:paraId="4D9EABB6" w14:textId="77777777" w:rsidR="00B85B26" w:rsidRPr="002133A1" w:rsidRDefault="00B85B26" w:rsidP="00694245">
      <w:pPr>
        <w:rPr>
          <w:rFonts w:asciiTheme="majorHAnsi" w:hAnsiTheme="majorHAnsi"/>
          <w:sz w:val="22"/>
          <w:szCs w:val="22"/>
        </w:rPr>
      </w:pPr>
      <w:r w:rsidRPr="002133A1">
        <w:rPr>
          <w:rFonts w:asciiTheme="majorHAnsi" w:hAnsiTheme="majorHAnsi" w:cs="Arial"/>
          <w:color w:val="2A2C28"/>
          <w:sz w:val="22"/>
          <w:szCs w:val="22"/>
        </w:rPr>
        <w:t xml:space="preserve">Think Math from EDC </w:t>
      </w:r>
      <w:hyperlink r:id="rId12" w:history="1">
        <w:r w:rsidRPr="002133A1">
          <w:rPr>
            <w:rStyle w:val="Hyperlink"/>
            <w:rFonts w:asciiTheme="majorHAnsi" w:hAnsiTheme="majorHAnsi"/>
            <w:sz w:val="22"/>
            <w:szCs w:val="22"/>
          </w:rPr>
          <w:t>http://thinkmath.edc.org/resource/mp3</w:t>
        </w:r>
      </w:hyperlink>
      <w:r w:rsidRPr="002133A1">
        <w:rPr>
          <w:rFonts w:asciiTheme="majorHAnsi" w:hAnsiTheme="majorHAnsi"/>
          <w:sz w:val="22"/>
          <w:szCs w:val="22"/>
        </w:rPr>
        <w:t xml:space="preserve"> </w:t>
      </w:r>
    </w:p>
    <w:p w14:paraId="5B2E556F" w14:textId="77777777" w:rsidR="00B85B26" w:rsidRPr="002133A1" w:rsidRDefault="00B85B26" w:rsidP="00B85B26">
      <w:pPr>
        <w:pStyle w:val="ListParagraph"/>
        <w:ind w:left="1080"/>
        <w:rPr>
          <w:rFonts w:asciiTheme="majorHAnsi" w:hAnsiTheme="majorHAnsi" w:cs="Arial"/>
          <w:color w:val="2A2C28"/>
          <w:sz w:val="22"/>
          <w:szCs w:val="22"/>
        </w:rPr>
      </w:pPr>
      <w:r w:rsidRPr="002133A1">
        <w:rPr>
          <w:rFonts w:asciiTheme="majorHAnsi" w:hAnsiTheme="majorHAnsi" w:cs="Arial"/>
          <w:color w:val="2A2C28"/>
          <w:sz w:val="22"/>
          <w:szCs w:val="22"/>
        </w:rPr>
        <w:t xml:space="preserve">Solid overview of the practice – what it looks like in elementary </w:t>
      </w:r>
      <w:proofErr w:type="gramStart"/>
      <w:r w:rsidRPr="002133A1">
        <w:rPr>
          <w:rFonts w:asciiTheme="majorHAnsi" w:hAnsiTheme="majorHAnsi" w:cs="Arial"/>
          <w:color w:val="2A2C28"/>
          <w:sz w:val="22"/>
          <w:szCs w:val="22"/>
        </w:rPr>
        <w:t>grades</w:t>
      </w:r>
      <w:proofErr w:type="gramEnd"/>
    </w:p>
    <w:p w14:paraId="611DF763" w14:textId="58DC529C" w:rsidR="00500C89" w:rsidRDefault="00500C89" w:rsidP="00500C89">
      <w:pPr>
        <w:rPr>
          <w:sz w:val="22"/>
          <w:szCs w:val="22"/>
        </w:rPr>
      </w:pPr>
    </w:p>
    <w:p w14:paraId="747EAE34" w14:textId="096BFDDA" w:rsidR="00B440AE" w:rsidRDefault="00B440AE" w:rsidP="001F5235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A2C28"/>
        </w:rPr>
      </w:pPr>
      <w:r>
        <w:rPr>
          <w:rFonts w:ascii="Marker Felt" w:hAnsi="Marker Felt" w:cs="Big Caslon"/>
          <w:sz w:val="26"/>
          <w:szCs w:val="26"/>
        </w:rPr>
        <w:t>Additional Readings</w:t>
      </w:r>
    </w:p>
    <w:p w14:paraId="58593FB4" w14:textId="7E409E38" w:rsidR="00B440AE" w:rsidRPr="002133A1" w:rsidRDefault="00B440AE" w:rsidP="00B85B26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2133A1">
        <w:rPr>
          <w:rFonts w:ascii="Calibri" w:hAnsi="Calibri"/>
          <w:i/>
          <w:sz w:val="22"/>
          <w:szCs w:val="22"/>
        </w:rPr>
        <w:t>Developing Essential Understanding of Proof and Proving: Grades 9 – 12,</w:t>
      </w:r>
      <w:r w:rsidRPr="002133A1">
        <w:rPr>
          <w:rFonts w:ascii="Calibri" w:hAnsi="Calibri"/>
          <w:sz w:val="22"/>
          <w:szCs w:val="22"/>
        </w:rPr>
        <w:t xml:space="preserve"> NCTM.</w:t>
      </w:r>
    </w:p>
    <w:p w14:paraId="0DB34702" w14:textId="1362BEA7" w:rsidR="001F5235" w:rsidRPr="002133A1" w:rsidRDefault="001F5235" w:rsidP="00B85B2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color w:val="2A2C28"/>
          <w:sz w:val="22"/>
          <w:szCs w:val="22"/>
        </w:rPr>
      </w:pPr>
      <w:r w:rsidRPr="002133A1">
        <w:rPr>
          <w:rFonts w:ascii="Calibri" w:hAnsi="Calibri" w:cs="Arial"/>
          <w:color w:val="2A2C28"/>
          <w:sz w:val="22"/>
          <w:szCs w:val="22"/>
        </w:rPr>
        <w:t xml:space="preserve">Reid, D. (2002). Describing reasoning in early elementary school mathematics.” </w:t>
      </w:r>
      <w:r w:rsidRPr="002133A1">
        <w:rPr>
          <w:rFonts w:ascii="Calibri" w:hAnsi="Calibri" w:cs="Arial"/>
          <w:i/>
          <w:color w:val="2A2C28"/>
          <w:sz w:val="22"/>
          <w:szCs w:val="22"/>
        </w:rPr>
        <w:t>Teaching Children Mathematics, 9</w:t>
      </w:r>
      <w:r w:rsidRPr="002133A1">
        <w:rPr>
          <w:rFonts w:ascii="Calibri" w:hAnsi="Calibri" w:cs="Arial"/>
          <w:color w:val="2A2C28"/>
          <w:sz w:val="22"/>
          <w:szCs w:val="22"/>
        </w:rPr>
        <w:t xml:space="preserve">(4), 234-237. </w:t>
      </w:r>
    </w:p>
    <w:p w14:paraId="77069DBF" w14:textId="31B1F723" w:rsidR="00500C89" w:rsidRPr="002133A1" w:rsidRDefault="001F5235" w:rsidP="00B85B26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hAnsi="Calibri" w:cs="Arial"/>
          <w:color w:val="2A2C28"/>
          <w:sz w:val="22"/>
          <w:szCs w:val="22"/>
        </w:rPr>
      </w:pPr>
      <w:r w:rsidRPr="002133A1">
        <w:rPr>
          <w:rFonts w:ascii="Calibri" w:hAnsi="Calibri" w:cs="Arial"/>
          <w:color w:val="2A2C28"/>
          <w:sz w:val="22"/>
          <w:szCs w:val="22"/>
        </w:rPr>
        <w:t xml:space="preserve">Reid describes several types of mathematical reasoning that elementary school </w:t>
      </w:r>
      <w:proofErr w:type="gramStart"/>
      <w:r w:rsidRPr="002133A1">
        <w:rPr>
          <w:rFonts w:ascii="Calibri" w:hAnsi="Calibri" w:cs="Arial"/>
          <w:color w:val="2A2C28"/>
          <w:sz w:val="22"/>
          <w:szCs w:val="22"/>
        </w:rPr>
        <w:t>students</w:t>
      </w:r>
      <w:proofErr w:type="gramEnd"/>
      <w:r w:rsidRPr="002133A1">
        <w:rPr>
          <w:rFonts w:ascii="Calibri" w:hAnsi="Calibri" w:cs="Arial"/>
          <w:color w:val="2A2C28"/>
          <w:sz w:val="22"/>
          <w:szCs w:val="22"/>
        </w:rPr>
        <w:t xml:space="preserve"> </w:t>
      </w:r>
      <w:r w:rsidR="00D84952" w:rsidRPr="002133A1">
        <w:rPr>
          <w:rFonts w:ascii="Calibri" w:hAnsi="Calibri" w:cs="Arial"/>
          <w:color w:val="2A2C28"/>
          <w:sz w:val="22"/>
          <w:szCs w:val="22"/>
        </w:rPr>
        <w:t xml:space="preserve">use and offers some pedagogical ideas. </w:t>
      </w:r>
      <w:r w:rsidRPr="002133A1">
        <w:rPr>
          <w:rFonts w:ascii="Calibri" w:hAnsi="Calibri" w:cs="Arial"/>
          <w:color w:val="2A2C28"/>
          <w:sz w:val="22"/>
          <w:szCs w:val="22"/>
        </w:rPr>
        <w:t xml:space="preserve">Article at: </w:t>
      </w:r>
      <w:hyperlink r:id="rId13" w:history="1">
        <w:r w:rsidR="00D84952" w:rsidRPr="002133A1">
          <w:rPr>
            <w:rStyle w:val="Hyperlink"/>
            <w:rFonts w:ascii="Calibri" w:hAnsi="Calibri" w:cs="Arial"/>
            <w:sz w:val="22"/>
            <w:szCs w:val="22"/>
          </w:rPr>
          <w:t>http://karolyeatts.com/Math/Resources/describingreasoning.pdf</w:t>
        </w:r>
      </w:hyperlink>
      <w:r w:rsidR="00D84952" w:rsidRPr="002133A1">
        <w:rPr>
          <w:rFonts w:ascii="Calibri" w:hAnsi="Calibri" w:cs="Arial"/>
          <w:color w:val="2A2C28"/>
          <w:sz w:val="22"/>
          <w:szCs w:val="22"/>
        </w:rPr>
        <w:t xml:space="preserve"> </w:t>
      </w:r>
    </w:p>
    <w:p w14:paraId="5E4ACE10" w14:textId="290C3B0F" w:rsidR="001F5235" w:rsidRPr="00694245" w:rsidRDefault="001F5235" w:rsidP="001F523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Arial"/>
          <w:color w:val="2A2C28"/>
        </w:rPr>
      </w:pPr>
      <w:r w:rsidRPr="002133A1">
        <w:rPr>
          <w:rFonts w:ascii="Calibri" w:hAnsi="Calibri" w:cs="Arial"/>
          <w:color w:val="2A2C28"/>
          <w:sz w:val="22"/>
          <w:szCs w:val="22"/>
        </w:rPr>
        <w:t xml:space="preserve">Barlow, A. T., and </w:t>
      </w:r>
      <w:proofErr w:type="spellStart"/>
      <w:r w:rsidRPr="002133A1">
        <w:rPr>
          <w:rFonts w:ascii="Calibri" w:hAnsi="Calibri" w:cs="Arial"/>
          <w:color w:val="2A2C28"/>
          <w:sz w:val="22"/>
          <w:szCs w:val="22"/>
        </w:rPr>
        <w:t>McCrory</w:t>
      </w:r>
      <w:proofErr w:type="spellEnd"/>
      <w:r w:rsidRPr="002133A1">
        <w:rPr>
          <w:rFonts w:ascii="Calibri" w:hAnsi="Calibri" w:cs="Arial"/>
          <w:color w:val="2A2C28"/>
          <w:sz w:val="22"/>
          <w:szCs w:val="22"/>
        </w:rPr>
        <w:t>, M. R. (2011). 3 strategies for promoting math disagreements</w:t>
      </w:r>
      <w:r w:rsidRPr="002133A1">
        <w:rPr>
          <w:rFonts w:ascii="Calibri" w:hAnsi="Calibri" w:cs="Arial"/>
          <w:i/>
          <w:color w:val="2A2C28"/>
          <w:sz w:val="22"/>
          <w:szCs w:val="22"/>
        </w:rPr>
        <w:t>. Teaching Children Mathematics, 17</w:t>
      </w:r>
      <w:r w:rsidRPr="002133A1">
        <w:rPr>
          <w:rFonts w:ascii="Calibri" w:hAnsi="Calibri" w:cs="Arial"/>
          <w:color w:val="2A2C28"/>
          <w:sz w:val="22"/>
          <w:szCs w:val="22"/>
        </w:rPr>
        <w:t>(9), 530-539.</w:t>
      </w:r>
      <w:r w:rsidR="00B85B26" w:rsidRPr="002133A1">
        <w:rPr>
          <w:rFonts w:ascii="Calibri" w:hAnsi="Calibri" w:cs="Arial"/>
          <w:color w:val="2A2C28"/>
          <w:sz w:val="22"/>
          <w:szCs w:val="22"/>
        </w:rPr>
        <w:t xml:space="preserve"> </w:t>
      </w:r>
      <w:r w:rsidRPr="002133A1">
        <w:rPr>
          <w:rFonts w:ascii="Calibri" w:hAnsi="Calibri" w:cs="Arial"/>
          <w:color w:val="2A2C28"/>
          <w:sz w:val="22"/>
          <w:szCs w:val="22"/>
        </w:rPr>
        <w:t>Summary of article</w:t>
      </w:r>
      <w:r w:rsidR="00D84952" w:rsidRPr="002133A1">
        <w:rPr>
          <w:rFonts w:ascii="Calibri" w:hAnsi="Calibri" w:cs="Arial"/>
          <w:color w:val="2A2C28"/>
          <w:sz w:val="22"/>
          <w:szCs w:val="22"/>
        </w:rPr>
        <w:t xml:space="preserve"> at</w:t>
      </w:r>
      <w:r w:rsidRPr="002133A1">
        <w:rPr>
          <w:rFonts w:ascii="Calibri" w:hAnsi="Calibri" w:cs="Arial"/>
          <w:color w:val="2A2C28"/>
          <w:sz w:val="22"/>
          <w:szCs w:val="22"/>
        </w:rPr>
        <w:t>:</w:t>
      </w:r>
      <w:r w:rsidRPr="00B85B26">
        <w:rPr>
          <w:rFonts w:asciiTheme="majorHAnsi" w:hAnsiTheme="majorHAnsi" w:cs="Arial"/>
          <w:i/>
          <w:color w:val="2A2C28"/>
          <w:sz w:val="20"/>
          <w:szCs w:val="20"/>
        </w:rPr>
        <w:t xml:space="preserve"> </w:t>
      </w:r>
      <w:hyperlink r:id="rId14" w:history="1">
        <w:r w:rsidRPr="00B85B26">
          <w:rPr>
            <w:rStyle w:val="Hyperlink"/>
            <w:rFonts w:asciiTheme="majorHAnsi" w:hAnsiTheme="majorHAnsi" w:cs="Arial"/>
            <w:i/>
            <w:sz w:val="20"/>
            <w:szCs w:val="20"/>
          </w:rPr>
          <w:t>http://bestpracticesweekly.com/wp-content/uploads/2011/05/Math-Debate-Article.pdf</w:t>
        </w:r>
      </w:hyperlink>
    </w:p>
    <w:sectPr w:rsidR="001F5235" w:rsidRPr="00694245" w:rsidSect="001172A3">
      <w:footerReference w:type="default" r:id="rId15"/>
      <w:pgSz w:w="12240" w:h="15840"/>
      <w:pgMar w:top="1080" w:right="1512" w:bottom="1080" w:left="151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68674" w14:textId="77777777" w:rsidR="00500C89" w:rsidRDefault="00500C89" w:rsidP="009A37F0">
      <w:r>
        <w:separator/>
      </w:r>
    </w:p>
  </w:endnote>
  <w:endnote w:type="continuationSeparator" w:id="0">
    <w:p w14:paraId="6A2481D5" w14:textId="77777777" w:rsidR="00500C89" w:rsidRDefault="00500C89" w:rsidP="009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85DB" w14:textId="0746D0DB" w:rsidR="00500C89" w:rsidRPr="009A37F0" w:rsidRDefault="00500C89">
    <w:pPr>
      <w:pStyle w:val="Footer"/>
      <w:rPr>
        <w:sz w:val="22"/>
        <w:szCs w:val="22"/>
      </w:rPr>
    </w:pPr>
    <w:r w:rsidRPr="009A37F0">
      <w:rPr>
        <w:sz w:val="22"/>
        <w:szCs w:val="22"/>
      </w:rPr>
      <w:t>Bridging Math Practices</w:t>
    </w:r>
    <w:r w:rsidRPr="009A37F0">
      <w:rPr>
        <w:sz w:val="22"/>
        <w:szCs w:val="22"/>
      </w:rPr>
      <w:tab/>
    </w:r>
    <w:r w:rsidRPr="009A37F0">
      <w:rPr>
        <w:sz w:val="22"/>
        <w:szCs w:val="22"/>
      </w:rPr>
      <w:tab/>
      <w:t>Day 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7D6CC" w14:textId="77777777" w:rsidR="00500C89" w:rsidRDefault="00500C89" w:rsidP="009A37F0">
      <w:r>
        <w:separator/>
      </w:r>
    </w:p>
  </w:footnote>
  <w:footnote w:type="continuationSeparator" w:id="0">
    <w:p w14:paraId="0B804EE6" w14:textId="77777777" w:rsidR="00500C89" w:rsidRDefault="00500C89" w:rsidP="009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380"/>
    <w:multiLevelType w:val="hybridMultilevel"/>
    <w:tmpl w:val="5A90C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1155A"/>
    <w:multiLevelType w:val="hybridMultilevel"/>
    <w:tmpl w:val="8CE47C64"/>
    <w:lvl w:ilvl="0" w:tplc="8ABCB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8FE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2C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C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2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4C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63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6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8F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A35204"/>
    <w:multiLevelType w:val="hybridMultilevel"/>
    <w:tmpl w:val="75F00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5C8FE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E2CF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2C50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3629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0C4C4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063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666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28F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3B1B99"/>
    <w:multiLevelType w:val="hybridMultilevel"/>
    <w:tmpl w:val="C134A098"/>
    <w:lvl w:ilvl="0" w:tplc="83EC78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6761"/>
    <w:multiLevelType w:val="hybridMultilevel"/>
    <w:tmpl w:val="2ADC9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46130"/>
    <w:multiLevelType w:val="hybridMultilevel"/>
    <w:tmpl w:val="8C18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646593"/>
    <w:multiLevelType w:val="hybridMultilevel"/>
    <w:tmpl w:val="27A06CE6"/>
    <w:lvl w:ilvl="0" w:tplc="46FA3C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8320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E3C5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A5EF3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28A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9F67DB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53279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908B2F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7B894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0E"/>
    <w:rsid w:val="00002035"/>
    <w:rsid w:val="000B3AA0"/>
    <w:rsid w:val="000B6989"/>
    <w:rsid w:val="000D0C01"/>
    <w:rsid w:val="000D5FA0"/>
    <w:rsid w:val="001172A3"/>
    <w:rsid w:val="00191120"/>
    <w:rsid w:val="001F5235"/>
    <w:rsid w:val="00204E5D"/>
    <w:rsid w:val="002133A1"/>
    <w:rsid w:val="00292EA7"/>
    <w:rsid w:val="002A742F"/>
    <w:rsid w:val="002C67DD"/>
    <w:rsid w:val="002C7BF7"/>
    <w:rsid w:val="00323073"/>
    <w:rsid w:val="004C31B1"/>
    <w:rsid w:val="00500C89"/>
    <w:rsid w:val="0059790E"/>
    <w:rsid w:val="005A0C9C"/>
    <w:rsid w:val="005A49E2"/>
    <w:rsid w:val="00694245"/>
    <w:rsid w:val="006F0E27"/>
    <w:rsid w:val="007D2CD6"/>
    <w:rsid w:val="00804FD6"/>
    <w:rsid w:val="00926A1F"/>
    <w:rsid w:val="009602E0"/>
    <w:rsid w:val="0096569F"/>
    <w:rsid w:val="009A37F0"/>
    <w:rsid w:val="009A3EFA"/>
    <w:rsid w:val="009E3F08"/>
    <w:rsid w:val="00A41FC9"/>
    <w:rsid w:val="00AC2A9A"/>
    <w:rsid w:val="00AE09F8"/>
    <w:rsid w:val="00B440AE"/>
    <w:rsid w:val="00B85B26"/>
    <w:rsid w:val="00BE3023"/>
    <w:rsid w:val="00C01540"/>
    <w:rsid w:val="00CB08BF"/>
    <w:rsid w:val="00D06BD4"/>
    <w:rsid w:val="00D84952"/>
    <w:rsid w:val="00D9597A"/>
    <w:rsid w:val="00E63C98"/>
    <w:rsid w:val="00E72C94"/>
    <w:rsid w:val="00F073BD"/>
    <w:rsid w:val="00F90B4E"/>
    <w:rsid w:val="00F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26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F0"/>
  </w:style>
  <w:style w:type="paragraph" w:styleId="Footer">
    <w:name w:val="footer"/>
    <w:basedOn w:val="Normal"/>
    <w:link w:val="Foot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F0"/>
  </w:style>
  <w:style w:type="character" w:styleId="Hyperlink">
    <w:name w:val="Hyperlink"/>
    <w:basedOn w:val="DefaultParagraphFont"/>
    <w:uiPriority w:val="99"/>
    <w:unhideWhenUsed/>
    <w:rsid w:val="00500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9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7F0"/>
  </w:style>
  <w:style w:type="paragraph" w:styleId="Footer">
    <w:name w:val="footer"/>
    <w:basedOn w:val="Normal"/>
    <w:link w:val="FooterChar"/>
    <w:uiPriority w:val="99"/>
    <w:unhideWhenUsed/>
    <w:rsid w:val="009A37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7F0"/>
  </w:style>
  <w:style w:type="character" w:styleId="Hyperlink">
    <w:name w:val="Hyperlink"/>
    <w:basedOn w:val="DefaultParagraphFont"/>
    <w:uiPriority w:val="99"/>
    <w:unhideWhenUsed/>
    <w:rsid w:val="00500C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49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6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0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dtennessee.org/math/teachers/teachers_mathematics_toolkit/mathematical_practices/construct_viable_arguments_and_critique_the_reasoning_of_others/cv_watch.aspx" TargetMode="External"/><Relationship Id="rId12" Type="http://schemas.openxmlformats.org/officeDocument/2006/relationships/hyperlink" Target="http://thinkmath.edc.org/resource/mp3" TargetMode="External"/><Relationship Id="rId13" Type="http://schemas.openxmlformats.org/officeDocument/2006/relationships/hyperlink" Target="http://karolyeatts.com/Math/Resources/describingreasoning.pdf" TargetMode="External"/><Relationship Id="rId14" Type="http://schemas.openxmlformats.org/officeDocument/2006/relationships/hyperlink" Target="http://bestpracticesweekly.com/wp-content/uploads/2011/05/Math-Debate-Article.pdf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ctm.org/profdev/library/default.aspx?id=34509" TargetMode="External"/><Relationship Id="rId10" Type="http://schemas.openxmlformats.org/officeDocument/2006/relationships/hyperlink" Target="http://www.readtennessee.org/math/teachers/teachers_mathematics_toolkit/mathematical_practic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Macintosh Word</Application>
  <DocSecurity>0</DocSecurity>
  <Lines>18</Lines>
  <Paragraphs>5</Paragraphs>
  <ScaleCrop>false</ScaleCrop>
  <Company>Neag School of Education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Staples</dc:creator>
  <cp:keywords/>
  <dc:description/>
  <cp:lastModifiedBy>Megan Staples</cp:lastModifiedBy>
  <cp:revision>2</cp:revision>
  <dcterms:created xsi:type="dcterms:W3CDTF">2014-08-18T10:32:00Z</dcterms:created>
  <dcterms:modified xsi:type="dcterms:W3CDTF">2014-08-18T10:32:00Z</dcterms:modified>
</cp:coreProperties>
</file>